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075A5">
      <w:pPr>
        <w:widowControl/>
        <w:wordWrap w:val="0"/>
        <w:spacing w:line="720" w:lineRule="exact"/>
        <w:rPr>
          <w:rFonts w:ascii="Times New Roman" w:hAnsi="Times New Roman" w:eastAsia="方正小标宋_GBK" w:cs="Times New Roman"/>
          <w:spacing w:val="6"/>
          <w:sz w:val="44"/>
          <w:szCs w:val="44"/>
        </w:rPr>
      </w:pPr>
      <w:bookmarkStart w:id="0" w:name="_Hlk202358769"/>
    </w:p>
    <w:p w14:paraId="0573FF0A">
      <w:pPr>
        <w:widowControl/>
        <w:wordWrap w:val="0"/>
        <w:spacing w:line="720" w:lineRule="exact"/>
        <w:jc w:val="center"/>
        <w:rPr>
          <w:rFonts w:ascii="Times New Roman" w:hAnsi="Times New Roman" w:eastAsia="方正小标宋_GBK" w:cs="Times New Roman"/>
          <w:spacing w:val="6"/>
          <w:sz w:val="44"/>
          <w:szCs w:val="44"/>
        </w:rPr>
      </w:pPr>
    </w:p>
    <w:p w14:paraId="383B752C">
      <w:pPr>
        <w:widowControl/>
        <w:wordWrap w:val="0"/>
        <w:spacing w:line="720" w:lineRule="exact"/>
        <w:jc w:val="center"/>
        <w:rPr>
          <w:rFonts w:ascii="Times New Roman" w:hAnsi="Times New Roman" w:eastAsia="方正小标宋_GBK" w:cs="Times New Roman"/>
          <w:spacing w:val="6"/>
          <w:sz w:val="44"/>
          <w:szCs w:val="44"/>
        </w:rPr>
      </w:pPr>
    </w:p>
    <w:p w14:paraId="27F8FE05">
      <w:pPr>
        <w:widowControl/>
        <w:wordWrap w:val="0"/>
        <w:spacing w:line="720" w:lineRule="exact"/>
        <w:jc w:val="center"/>
        <w:rPr>
          <w:rFonts w:ascii="Times New Roman" w:hAnsi="Times New Roman" w:eastAsia="方正小标宋_GBK" w:cs="Times New Roman"/>
          <w:spacing w:val="6"/>
          <w:sz w:val="44"/>
          <w:szCs w:val="44"/>
        </w:rPr>
      </w:pPr>
    </w:p>
    <w:p w14:paraId="29BB59C2">
      <w:pPr>
        <w:widowControl/>
        <w:wordWrap w:val="0"/>
        <w:spacing w:line="720" w:lineRule="exact"/>
        <w:jc w:val="center"/>
        <w:rPr>
          <w:rFonts w:ascii="Times New Roman" w:hAnsi="Times New Roman" w:eastAsia="方正小标宋_GBK" w:cs="Times New Roman"/>
          <w:spacing w:val="6"/>
          <w:sz w:val="44"/>
          <w:szCs w:val="44"/>
        </w:rPr>
      </w:pPr>
    </w:p>
    <w:p w14:paraId="713EF24A">
      <w:pPr>
        <w:widowControl/>
        <w:wordWrap w:val="0"/>
        <w:spacing w:line="720" w:lineRule="exact"/>
        <w:jc w:val="center"/>
        <w:rPr>
          <w:rFonts w:hint="eastAsia" w:ascii="方正小标宋简体" w:hAnsi="方正小标宋简体" w:eastAsia="方正小标宋简体" w:cs="方正小标宋简体"/>
          <w:b w:val="0"/>
          <w:bCs w:val="0"/>
          <w:spacing w:val="6"/>
          <w:sz w:val="44"/>
          <w:szCs w:val="44"/>
        </w:rPr>
      </w:pPr>
      <w:r>
        <w:rPr>
          <w:rFonts w:hint="eastAsia" w:ascii="方正小标宋简体" w:hAnsi="方正小标宋简体" w:eastAsia="方正小标宋简体" w:cs="方正小标宋简体"/>
          <w:b w:val="0"/>
          <w:bCs w:val="0"/>
          <w:spacing w:val="6"/>
          <w:sz w:val="44"/>
          <w:szCs w:val="44"/>
        </w:rPr>
        <w:t>2025年</w:t>
      </w:r>
      <w:bookmarkStart w:id="1" w:name="_Hlk202546243"/>
      <w:r>
        <w:rPr>
          <w:rFonts w:hint="eastAsia" w:ascii="方正小标宋简体" w:hAnsi="方正小标宋简体" w:eastAsia="方正小标宋简体" w:cs="方正小标宋简体"/>
          <w:b w:val="0"/>
          <w:bCs w:val="0"/>
          <w:spacing w:val="6"/>
          <w:sz w:val="44"/>
          <w:szCs w:val="44"/>
        </w:rPr>
        <w:t>浙江省信息通信业</w:t>
      </w:r>
      <w:bookmarkEnd w:id="1"/>
      <w:r>
        <w:rPr>
          <w:rFonts w:hint="eastAsia" w:ascii="方正小标宋简体" w:hAnsi="方正小标宋简体" w:eastAsia="方正小标宋简体" w:cs="方正小标宋简体"/>
          <w:b w:val="0"/>
          <w:bCs w:val="0"/>
          <w:spacing w:val="6"/>
          <w:sz w:val="44"/>
          <w:szCs w:val="44"/>
        </w:rPr>
        <w:t>职业技能竞赛</w:t>
      </w:r>
    </w:p>
    <w:p w14:paraId="7467FC28">
      <w:pPr>
        <w:widowControl/>
        <w:wordWrap w:val="0"/>
        <w:spacing w:line="720" w:lineRule="exact"/>
        <w:jc w:val="center"/>
        <w:rPr>
          <w:rFonts w:hint="eastAsia" w:ascii="黑体" w:hAnsi="黑体" w:eastAsia="黑体" w:cs="Times New Roman"/>
          <w:b/>
          <w:bCs/>
          <w:spacing w:val="6"/>
          <w:sz w:val="44"/>
          <w:szCs w:val="44"/>
        </w:rPr>
      </w:pPr>
    </w:p>
    <w:p w14:paraId="6628101E">
      <w:pPr>
        <w:widowControl/>
        <w:wordWrap w:val="0"/>
        <w:spacing w:line="720" w:lineRule="exact"/>
        <w:jc w:val="center"/>
        <w:rPr>
          <w:rFonts w:hint="eastAsia" w:ascii="黑体" w:hAnsi="黑体" w:eastAsia="黑体" w:cs="Times New Roman"/>
          <w:b/>
          <w:bCs/>
          <w:spacing w:val="6"/>
          <w:sz w:val="44"/>
          <w:szCs w:val="44"/>
        </w:rPr>
      </w:pPr>
      <w:r>
        <w:rPr>
          <w:rFonts w:hint="eastAsia" w:ascii="方正小标宋简体" w:hAnsi="方正小标宋简体" w:eastAsia="方正小标宋简体" w:cs="方正小标宋简体"/>
          <w:b w:val="0"/>
          <w:bCs w:val="0"/>
          <w:spacing w:val="6"/>
          <w:sz w:val="44"/>
          <w:szCs w:val="44"/>
        </w:rPr>
        <w:t>数据安全管理员</w:t>
      </w:r>
    </w:p>
    <w:p w14:paraId="37BDB95B">
      <w:pPr>
        <w:widowControl/>
        <w:wordWrap w:val="0"/>
        <w:spacing w:line="720" w:lineRule="exact"/>
        <w:jc w:val="center"/>
        <w:rPr>
          <w:rFonts w:hint="eastAsia" w:ascii="黑体" w:hAnsi="黑体" w:eastAsia="黑体" w:cs="Times New Roman"/>
          <w:b/>
          <w:bCs/>
          <w:spacing w:val="6"/>
          <w:sz w:val="44"/>
          <w:szCs w:val="44"/>
        </w:rPr>
      </w:pPr>
    </w:p>
    <w:p w14:paraId="7604353A">
      <w:pPr>
        <w:widowControl/>
        <w:wordWrap w:val="0"/>
        <w:spacing w:line="720" w:lineRule="exact"/>
        <w:jc w:val="center"/>
        <w:rPr>
          <w:rFonts w:hint="eastAsia" w:ascii="方正小标宋简体" w:hAnsi="方正小标宋简体" w:eastAsia="方正小标宋简体" w:cs="方正小标宋简体"/>
          <w:b w:val="0"/>
          <w:bCs w:val="0"/>
          <w:spacing w:val="6"/>
          <w:sz w:val="44"/>
          <w:szCs w:val="44"/>
        </w:rPr>
      </w:pPr>
      <w:r>
        <w:rPr>
          <w:rFonts w:hint="eastAsia" w:ascii="方正小标宋简体" w:hAnsi="方正小标宋简体" w:eastAsia="方正小标宋简体" w:cs="方正小标宋简体"/>
          <w:b w:val="0"/>
          <w:bCs w:val="0"/>
          <w:spacing w:val="6"/>
          <w:sz w:val="44"/>
          <w:szCs w:val="44"/>
        </w:rPr>
        <w:t>竞赛</w:t>
      </w:r>
      <w:bookmarkEnd w:id="0"/>
      <w:r>
        <w:rPr>
          <w:rFonts w:hint="eastAsia" w:ascii="方正小标宋简体" w:hAnsi="方正小标宋简体" w:eastAsia="方正小标宋简体" w:cs="方正小标宋简体"/>
          <w:b w:val="0"/>
          <w:bCs w:val="0"/>
          <w:spacing w:val="6"/>
          <w:sz w:val="44"/>
          <w:szCs w:val="44"/>
        </w:rPr>
        <w:t>技术文件</w:t>
      </w:r>
    </w:p>
    <w:p w14:paraId="3EFDF383">
      <w:pPr>
        <w:widowControl/>
        <w:wordWrap w:val="0"/>
        <w:spacing w:line="720" w:lineRule="exact"/>
        <w:jc w:val="center"/>
        <w:rPr>
          <w:rFonts w:ascii="Times New Roman" w:hAnsi="Times New Roman" w:eastAsia="方正小标宋_GBK" w:cs="Times New Roman"/>
          <w:spacing w:val="6"/>
          <w:sz w:val="44"/>
          <w:szCs w:val="44"/>
        </w:rPr>
      </w:pPr>
    </w:p>
    <w:p w14:paraId="056CF95B">
      <w:pPr>
        <w:widowControl/>
        <w:wordWrap w:val="0"/>
        <w:spacing w:line="720" w:lineRule="exact"/>
        <w:jc w:val="center"/>
        <w:rPr>
          <w:rFonts w:ascii="Times New Roman" w:hAnsi="Times New Roman" w:eastAsia="方正小标宋_GBK" w:cs="Times New Roman"/>
          <w:spacing w:val="6"/>
          <w:sz w:val="44"/>
          <w:szCs w:val="44"/>
        </w:rPr>
      </w:pPr>
    </w:p>
    <w:p w14:paraId="58290BF8">
      <w:pPr>
        <w:widowControl/>
        <w:wordWrap w:val="0"/>
        <w:spacing w:line="720" w:lineRule="exact"/>
        <w:jc w:val="center"/>
        <w:rPr>
          <w:rFonts w:ascii="Times New Roman" w:hAnsi="Times New Roman" w:eastAsia="方正小标宋_GBK" w:cs="Times New Roman"/>
          <w:spacing w:val="6"/>
          <w:sz w:val="44"/>
          <w:szCs w:val="44"/>
        </w:rPr>
      </w:pPr>
    </w:p>
    <w:p w14:paraId="2459EEA9">
      <w:pPr>
        <w:widowControl/>
        <w:wordWrap w:val="0"/>
        <w:spacing w:line="720" w:lineRule="exact"/>
        <w:jc w:val="center"/>
        <w:rPr>
          <w:rFonts w:ascii="Times New Roman" w:hAnsi="Times New Roman" w:eastAsia="方正小标宋_GBK" w:cs="Times New Roman"/>
          <w:spacing w:val="6"/>
          <w:sz w:val="44"/>
          <w:szCs w:val="44"/>
        </w:rPr>
      </w:pPr>
    </w:p>
    <w:p w14:paraId="210B87F7">
      <w:pPr>
        <w:widowControl/>
        <w:wordWrap w:val="0"/>
        <w:spacing w:line="720" w:lineRule="exact"/>
        <w:jc w:val="center"/>
        <w:rPr>
          <w:rFonts w:ascii="Times New Roman" w:hAnsi="Times New Roman" w:eastAsia="方正小标宋_GBK" w:cs="Times New Roman"/>
          <w:spacing w:val="6"/>
          <w:sz w:val="44"/>
          <w:szCs w:val="44"/>
        </w:rPr>
      </w:pPr>
    </w:p>
    <w:p w14:paraId="0FAF2742">
      <w:pPr>
        <w:widowControl/>
        <w:wordWrap w:val="0"/>
        <w:spacing w:line="720" w:lineRule="exact"/>
        <w:jc w:val="center"/>
        <w:rPr>
          <w:rFonts w:ascii="Times New Roman" w:hAnsi="Times New Roman" w:eastAsia="方正小标宋_GBK" w:cs="Times New Roman"/>
          <w:spacing w:val="6"/>
          <w:sz w:val="44"/>
          <w:szCs w:val="44"/>
        </w:rPr>
      </w:pPr>
    </w:p>
    <w:p w14:paraId="086672C9">
      <w:pPr>
        <w:widowControl/>
        <w:wordWrap w:val="0"/>
        <w:spacing w:line="720" w:lineRule="exact"/>
        <w:jc w:val="center"/>
        <w:rPr>
          <w:rFonts w:ascii="Times New Roman" w:hAnsi="Times New Roman" w:eastAsia="黑体" w:cs="Times New Roman"/>
          <w:b/>
          <w:bCs/>
          <w:spacing w:val="6"/>
          <w:sz w:val="30"/>
          <w:szCs w:val="30"/>
        </w:rPr>
      </w:pPr>
      <w:r>
        <w:rPr>
          <w:rFonts w:ascii="Times New Roman" w:hAnsi="Times New Roman" w:eastAsia="黑体" w:cs="Times New Roman"/>
          <w:b/>
          <w:bCs/>
          <w:spacing w:val="6"/>
          <w:sz w:val="30"/>
          <w:szCs w:val="30"/>
        </w:rPr>
        <w:t>2025年7月</w:t>
      </w:r>
    </w:p>
    <w:p w14:paraId="113AAD32">
      <w:pPr>
        <w:widowControl/>
        <w:wordWrap w:val="0"/>
        <w:spacing w:line="720" w:lineRule="exact"/>
        <w:rPr>
          <w:rFonts w:ascii="Times New Roman" w:hAnsi="Times New Roman" w:eastAsia="方正小标宋_GBK" w:cs="Times New Roman"/>
          <w:spacing w:val="6"/>
          <w:sz w:val="44"/>
          <w:szCs w:val="44"/>
        </w:rPr>
      </w:pPr>
    </w:p>
    <w:p w14:paraId="1BE1EFCA">
      <w:pPr>
        <w:widowControl/>
        <w:wordWrap w:val="0"/>
        <w:spacing w:line="720" w:lineRule="exact"/>
        <w:rPr>
          <w:rFonts w:ascii="Times New Roman" w:hAnsi="Times New Roman" w:eastAsia="方正小标宋_GBK" w:cs="Times New Roman"/>
          <w:spacing w:val="6"/>
          <w:sz w:val="44"/>
          <w:szCs w:val="44"/>
        </w:rPr>
      </w:pPr>
    </w:p>
    <w:p w14:paraId="602EE909">
      <w:pPr>
        <w:widowControl/>
        <w:spacing w:line="720" w:lineRule="exact"/>
        <w:jc w:val="center"/>
        <w:rPr>
          <w:rFonts w:hint="eastAsia" w:ascii="黑体" w:hAnsi="黑体" w:eastAsia="黑体" w:cs="Times New Roman"/>
          <w:spacing w:val="6"/>
          <w:sz w:val="44"/>
          <w:szCs w:val="44"/>
        </w:rPr>
      </w:pPr>
      <w:r>
        <w:rPr>
          <w:rFonts w:hint="eastAsia" w:ascii="黑体" w:hAnsi="黑体" w:eastAsia="黑体" w:cs="Times New Roman"/>
          <w:spacing w:val="6"/>
          <w:sz w:val="44"/>
          <w:szCs w:val="44"/>
        </w:rPr>
        <w:t>目录</w:t>
      </w:r>
    </w:p>
    <w:p w14:paraId="01AC8A45">
      <w:pPr>
        <w:pStyle w:val="17"/>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TOC \o "1-3" \h \z \u </w:instrText>
      </w:r>
      <w:r>
        <w:rPr>
          <w:rFonts w:hint="eastAsia" w:ascii="宋体" w:hAnsi="宋体" w:eastAsia="宋体" w:cs="宋体"/>
          <w:spacing w:val="6"/>
          <w:sz w:val="32"/>
          <w:szCs w:val="32"/>
        </w:rPr>
        <w:fldChar w:fldCharType="separate"/>
      </w: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_Toc47674656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一、 竞赛概述</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_Toc47674656 \h </w:instrText>
      </w:r>
      <w:r>
        <w:rPr>
          <w:rFonts w:hint="eastAsia" w:ascii="宋体" w:hAnsi="宋体" w:eastAsia="宋体" w:cs="宋体"/>
          <w:sz w:val="32"/>
          <w:szCs w:val="32"/>
        </w:rPr>
        <w:fldChar w:fldCharType="separate"/>
      </w:r>
      <w:r>
        <w:rPr>
          <w:rFonts w:hint="eastAsia" w:ascii="宋体" w:hAnsi="宋体" w:eastAsia="宋体" w:cs="宋体"/>
          <w:sz w:val="32"/>
          <w:szCs w:val="32"/>
        </w:rPr>
        <w:t>3</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605DF481">
      <w:pPr>
        <w:pStyle w:val="17"/>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_Toc1022110535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二、 竞赛内容</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_Toc1022110535 \h </w:instrText>
      </w:r>
      <w:r>
        <w:rPr>
          <w:rFonts w:hint="eastAsia" w:ascii="宋体" w:hAnsi="宋体" w:eastAsia="宋体" w:cs="宋体"/>
          <w:sz w:val="32"/>
          <w:szCs w:val="32"/>
        </w:rPr>
        <w:fldChar w:fldCharType="separate"/>
      </w:r>
      <w:r>
        <w:rPr>
          <w:rFonts w:hint="eastAsia" w:ascii="宋体" w:hAnsi="宋体" w:eastAsia="宋体" w:cs="宋体"/>
          <w:sz w:val="32"/>
          <w:szCs w:val="32"/>
        </w:rPr>
        <w:t>3</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20493697">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_Toc1879503977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2.1初赛赛段</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_Toc1879503977 \h </w:instrText>
      </w:r>
      <w:r>
        <w:rPr>
          <w:rFonts w:hint="eastAsia" w:ascii="宋体" w:hAnsi="宋体" w:eastAsia="宋体" w:cs="宋体"/>
          <w:sz w:val="32"/>
          <w:szCs w:val="32"/>
        </w:rPr>
        <w:fldChar w:fldCharType="separate"/>
      </w:r>
      <w:r>
        <w:rPr>
          <w:rFonts w:hint="eastAsia" w:ascii="宋体" w:hAnsi="宋体" w:eastAsia="宋体" w:cs="宋体"/>
          <w:sz w:val="32"/>
          <w:szCs w:val="32"/>
        </w:rPr>
        <w:t>4</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1BAECA35">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_Toc470477179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2.2决赛赛段</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_Toc470477179 \h </w:instrText>
      </w:r>
      <w:r>
        <w:rPr>
          <w:rFonts w:hint="eastAsia" w:ascii="宋体" w:hAnsi="宋体" w:eastAsia="宋体" w:cs="宋体"/>
          <w:sz w:val="32"/>
          <w:szCs w:val="32"/>
        </w:rPr>
        <w:fldChar w:fldCharType="separate"/>
      </w:r>
      <w:r>
        <w:rPr>
          <w:rFonts w:hint="eastAsia" w:ascii="宋体" w:hAnsi="宋体" w:eastAsia="宋体" w:cs="宋体"/>
          <w:sz w:val="32"/>
          <w:szCs w:val="32"/>
        </w:rPr>
        <w:t>4</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4BA22A4A">
      <w:pPr>
        <w:pStyle w:val="17"/>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_Toc1802351408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三、 竞赛规则</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_Toc1802351408 \h </w:instrText>
      </w:r>
      <w:r>
        <w:rPr>
          <w:rFonts w:hint="eastAsia" w:ascii="宋体" w:hAnsi="宋体" w:eastAsia="宋体" w:cs="宋体"/>
          <w:sz w:val="32"/>
          <w:szCs w:val="32"/>
        </w:rPr>
        <w:fldChar w:fldCharType="separate"/>
      </w:r>
      <w:r>
        <w:rPr>
          <w:rFonts w:hint="eastAsia" w:ascii="宋体" w:hAnsi="宋体" w:eastAsia="宋体" w:cs="宋体"/>
          <w:sz w:val="32"/>
          <w:szCs w:val="32"/>
        </w:rPr>
        <w:t>4</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3E3F967D">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_Toc1630069746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3.1初赛赛段</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_Toc1630069746 \h </w:instrText>
      </w:r>
      <w:r>
        <w:rPr>
          <w:rFonts w:hint="eastAsia" w:ascii="宋体" w:hAnsi="宋体" w:eastAsia="宋体" w:cs="宋体"/>
          <w:sz w:val="32"/>
          <w:szCs w:val="32"/>
        </w:rPr>
        <w:fldChar w:fldCharType="separate"/>
      </w:r>
      <w:r>
        <w:rPr>
          <w:rFonts w:hint="eastAsia" w:ascii="宋体" w:hAnsi="宋体" w:eastAsia="宋体" w:cs="宋体"/>
          <w:sz w:val="32"/>
          <w:szCs w:val="32"/>
        </w:rPr>
        <w:t>4</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739FA180">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_Toc1355179278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3.2决赛赛段</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_Toc1355179278 \h </w:instrText>
      </w:r>
      <w:r>
        <w:rPr>
          <w:rFonts w:hint="eastAsia" w:ascii="宋体" w:hAnsi="宋体" w:eastAsia="宋体" w:cs="宋体"/>
          <w:sz w:val="32"/>
          <w:szCs w:val="32"/>
        </w:rPr>
        <w:fldChar w:fldCharType="separate"/>
      </w:r>
      <w:r>
        <w:rPr>
          <w:rFonts w:hint="eastAsia" w:ascii="宋体" w:hAnsi="宋体" w:eastAsia="宋体" w:cs="宋体"/>
          <w:sz w:val="32"/>
          <w:szCs w:val="32"/>
        </w:rPr>
        <w:t>5</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6B87D030">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_Toc608851388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3.3评判方法</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_Toc608851388 \h </w:instrText>
      </w:r>
      <w:r>
        <w:rPr>
          <w:rFonts w:hint="eastAsia" w:ascii="宋体" w:hAnsi="宋体" w:eastAsia="宋体" w:cs="宋体"/>
          <w:sz w:val="32"/>
          <w:szCs w:val="32"/>
        </w:rPr>
        <w:fldChar w:fldCharType="separate"/>
      </w:r>
      <w:r>
        <w:rPr>
          <w:rFonts w:hint="eastAsia" w:ascii="宋体" w:hAnsi="宋体" w:eastAsia="宋体" w:cs="宋体"/>
          <w:sz w:val="32"/>
          <w:szCs w:val="32"/>
        </w:rPr>
        <w:t>5</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1E1EA3FD">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_Toc847339528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3.4申诉与仲裁</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_Toc847339528 \h </w:instrText>
      </w:r>
      <w:r>
        <w:rPr>
          <w:rFonts w:hint="eastAsia" w:ascii="宋体" w:hAnsi="宋体" w:eastAsia="宋体" w:cs="宋体"/>
          <w:sz w:val="32"/>
          <w:szCs w:val="32"/>
        </w:rPr>
        <w:fldChar w:fldCharType="separate"/>
      </w:r>
      <w:r>
        <w:rPr>
          <w:rFonts w:hint="eastAsia" w:ascii="宋体" w:hAnsi="宋体" w:eastAsia="宋体" w:cs="宋体"/>
          <w:sz w:val="32"/>
          <w:szCs w:val="32"/>
        </w:rPr>
        <w:t>6</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2B54046C">
      <w:pPr>
        <w:pStyle w:val="17"/>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_Toc1011939793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四、 竞赛场地与设备</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_Toc1011939793 \h </w:instrText>
      </w:r>
      <w:r>
        <w:rPr>
          <w:rFonts w:hint="eastAsia" w:ascii="宋体" w:hAnsi="宋体" w:eastAsia="宋体" w:cs="宋体"/>
          <w:sz w:val="32"/>
          <w:szCs w:val="32"/>
        </w:rPr>
        <w:fldChar w:fldCharType="separate"/>
      </w:r>
      <w:r>
        <w:rPr>
          <w:rFonts w:hint="eastAsia" w:ascii="宋体" w:hAnsi="宋体" w:eastAsia="宋体" w:cs="宋体"/>
          <w:sz w:val="32"/>
          <w:szCs w:val="32"/>
        </w:rPr>
        <w:t>6</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25FE1193">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_Toc1428456731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4.1赛项设备配备情况</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_Toc1428456731 \h </w:instrText>
      </w:r>
      <w:r>
        <w:rPr>
          <w:rFonts w:hint="eastAsia" w:ascii="宋体" w:hAnsi="宋体" w:eastAsia="宋体" w:cs="宋体"/>
          <w:sz w:val="32"/>
          <w:szCs w:val="32"/>
        </w:rPr>
        <w:fldChar w:fldCharType="separate"/>
      </w:r>
      <w:r>
        <w:rPr>
          <w:rFonts w:hint="eastAsia" w:ascii="宋体" w:hAnsi="宋体" w:eastAsia="宋体" w:cs="宋体"/>
          <w:sz w:val="32"/>
          <w:szCs w:val="32"/>
        </w:rPr>
        <w:t>6</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364FFAAC">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_Toc752526620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4.2、竞赛平台页面（样式参考，以大赛实际平台为准）</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_Toc752526620 \h </w:instrText>
      </w:r>
      <w:r>
        <w:rPr>
          <w:rFonts w:hint="eastAsia" w:ascii="宋体" w:hAnsi="宋体" w:eastAsia="宋体" w:cs="宋体"/>
          <w:sz w:val="32"/>
          <w:szCs w:val="32"/>
        </w:rPr>
        <w:fldChar w:fldCharType="separate"/>
      </w:r>
      <w:r>
        <w:rPr>
          <w:rFonts w:hint="eastAsia" w:ascii="宋体" w:hAnsi="宋体" w:eastAsia="宋体" w:cs="宋体"/>
          <w:sz w:val="32"/>
          <w:szCs w:val="32"/>
        </w:rPr>
        <w:t>8</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294209EE">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_Toc1783947538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4.3、竞赛场地要求</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_Toc1783947538 \h </w:instrText>
      </w:r>
      <w:r>
        <w:rPr>
          <w:rFonts w:hint="eastAsia" w:ascii="宋体" w:hAnsi="宋体" w:eastAsia="宋体" w:cs="宋体"/>
          <w:sz w:val="32"/>
          <w:szCs w:val="32"/>
        </w:rPr>
        <w:fldChar w:fldCharType="separate"/>
      </w:r>
      <w:r>
        <w:rPr>
          <w:rFonts w:hint="eastAsia" w:ascii="宋体" w:hAnsi="宋体" w:eastAsia="宋体" w:cs="宋体"/>
          <w:sz w:val="32"/>
          <w:szCs w:val="32"/>
        </w:rPr>
        <w:t>9</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714AC3CF">
      <w:pPr>
        <w:pStyle w:val="17"/>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_Toc552460257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五、 注意事项</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_Toc552460257 \h </w:instrText>
      </w:r>
      <w:r>
        <w:rPr>
          <w:rFonts w:hint="eastAsia" w:ascii="宋体" w:hAnsi="宋体" w:eastAsia="宋体" w:cs="宋体"/>
          <w:sz w:val="32"/>
          <w:szCs w:val="32"/>
        </w:rPr>
        <w:fldChar w:fldCharType="separate"/>
      </w:r>
      <w:r>
        <w:rPr>
          <w:rFonts w:hint="eastAsia" w:ascii="宋体" w:hAnsi="宋体" w:eastAsia="宋体" w:cs="宋体"/>
          <w:sz w:val="32"/>
          <w:szCs w:val="32"/>
        </w:rPr>
        <w:t>10</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68EC62D4">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_Toc2113611113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5.1初赛注意事项</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_Toc2113611113 \h </w:instrText>
      </w:r>
      <w:r>
        <w:rPr>
          <w:rFonts w:hint="eastAsia" w:ascii="宋体" w:hAnsi="宋体" w:eastAsia="宋体" w:cs="宋体"/>
          <w:sz w:val="32"/>
          <w:szCs w:val="32"/>
        </w:rPr>
        <w:fldChar w:fldCharType="separate"/>
      </w:r>
      <w:r>
        <w:rPr>
          <w:rFonts w:hint="eastAsia" w:ascii="宋体" w:hAnsi="宋体" w:eastAsia="宋体" w:cs="宋体"/>
          <w:sz w:val="32"/>
          <w:szCs w:val="32"/>
        </w:rPr>
        <w:t>10</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06594C49">
      <w:pPr>
        <w:pStyle w:val="19"/>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_Toc562685200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5.2决赛注意事项</w:t>
      </w:r>
      <w:bookmarkStart w:id="25" w:name="_GoBack"/>
      <w:bookmarkEnd w:id="25"/>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_Toc562685200 \h </w:instrText>
      </w:r>
      <w:r>
        <w:rPr>
          <w:rFonts w:hint="eastAsia" w:ascii="宋体" w:hAnsi="宋体" w:eastAsia="宋体" w:cs="宋体"/>
          <w:sz w:val="32"/>
          <w:szCs w:val="32"/>
        </w:rPr>
        <w:fldChar w:fldCharType="separate"/>
      </w:r>
      <w:r>
        <w:rPr>
          <w:rFonts w:hint="eastAsia" w:ascii="宋体" w:hAnsi="宋体" w:eastAsia="宋体" w:cs="宋体"/>
          <w:sz w:val="32"/>
          <w:szCs w:val="32"/>
        </w:rPr>
        <w:t>10</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26BE5B6E">
      <w:pPr>
        <w:pStyle w:val="17"/>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_Toc394077044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附件一</w:t>
      </w:r>
      <w:r>
        <w:rPr>
          <w:rFonts w:hint="eastAsia" w:ascii="宋体" w:hAnsi="宋体" w:eastAsia="宋体" w:cs="宋体"/>
          <w:bCs/>
          <w:sz w:val="32"/>
          <w:szCs w:val="32"/>
          <w:lang w:eastAsia="zh-CN"/>
        </w:rPr>
        <w:t>：</w:t>
      </w:r>
      <w:r>
        <w:rPr>
          <w:rFonts w:hint="eastAsia" w:ascii="宋体" w:hAnsi="宋体" w:eastAsia="宋体" w:cs="宋体"/>
          <w:bCs/>
          <w:sz w:val="32"/>
          <w:szCs w:val="32"/>
        </w:rPr>
        <w:t>赛题大纲</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_Toc394077044 \h </w:instrText>
      </w:r>
      <w:r>
        <w:rPr>
          <w:rFonts w:hint="eastAsia" w:ascii="宋体" w:hAnsi="宋体" w:eastAsia="宋体" w:cs="宋体"/>
          <w:sz w:val="32"/>
          <w:szCs w:val="32"/>
        </w:rPr>
        <w:fldChar w:fldCharType="separate"/>
      </w:r>
      <w:r>
        <w:rPr>
          <w:rFonts w:hint="eastAsia" w:ascii="宋体" w:hAnsi="宋体" w:eastAsia="宋体" w:cs="宋体"/>
          <w:sz w:val="32"/>
          <w:szCs w:val="32"/>
        </w:rPr>
        <w:t>12</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01CFD73B">
      <w:pPr>
        <w:pStyle w:val="17"/>
        <w:tabs>
          <w:tab w:val="right" w:leader="dot" w:pos="8306"/>
        </w:tabs>
        <w:rPr>
          <w:rFonts w:hint="eastAsia" w:ascii="宋体" w:hAnsi="宋体" w:eastAsia="宋体" w:cs="宋体"/>
          <w:sz w:val="32"/>
          <w:szCs w:val="32"/>
        </w:rPr>
      </w:pPr>
      <w:r>
        <w:rPr>
          <w:rFonts w:hint="eastAsia" w:ascii="宋体" w:hAnsi="宋体" w:eastAsia="宋体" w:cs="宋体"/>
          <w:spacing w:val="6"/>
          <w:sz w:val="32"/>
          <w:szCs w:val="32"/>
        </w:rPr>
        <w:fldChar w:fldCharType="begin"/>
      </w:r>
      <w:r>
        <w:rPr>
          <w:rFonts w:hint="eastAsia" w:ascii="宋体" w:hAnsi="宋体" w:eastAsia="宋体" w:cs="宋体"/>
          <w:spacing w:val="6"/>
          <w:sz w:val="32"/>
          <w:szCs w:val="32"/>
        </w:rPr>
        <w:instrText xml:space="preserve"> HYPERLINK \l _Toc1930933096 </w:instrText>
      </w:r>
      <w:r>
        <w:rPr>
          <w:rFonts w:hint="eastAsia" w:ascii="宋体" w:hAnsi="宋体" w:eastAsia="宋体" w:cs="宋体"/>
          <w:spacing w:val="6"/>
          <w:sz w:val="32"/>
          <w:szCs w:val="32"/>
        </w:rPr>
        <w:fldChar w:fldCharType="separate"/>
      </w:r>
      <w:r>
        <w:rPr>
          <w:rFonts w:hint="eastAsia" w:ascii="宋体" w:hAnsi="宋体" w:eastAsia="宋体" w:cs="宋体"/>
          <w:bCs/>
          <w:sz w:val="32"/>
          <w:szCs w:val="32"/>
        </w:rPr>
        <w:t>附件二</w:t>
      </w:r>
      <w:r>
        <w:rPr>
          <w:rFonts w:hint="eastAsia" w:ascii="宋体" w:hAnsi="宋体" w:eastAsia="宋体" w:cs="宋体"/>
          <w:bCs/>
          <w:sz w:val="32"/>
          <w:szCs w:val="32"/>
          <w:lang w:eastAsia="zh-CN"/>
        </w:rPr>
        <w:t>：</w:t>
      </w:r>
      <w:r>
        <w:rPr>
          <w:rFonts w:hint="eastAsia" w:ascii="宋体" w:hAnsi="宋体" w:eastAsia="宋体" w:cs="宋体"/>
          <w:bCs/>
          <w:sz w:val="32"/>
          <w:szCs w:val="32"/>
        </w:rPr>
        <w:t>参赛选手工具清单</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_Toc1930933096 \h </w:instrText>
      </w:r>
      <w:r>
        <w:rPr>
          <w:rFonts w:hint="eastAsia" w:ascii="宋体" w:hAnsi="宋体" w:eastAsia="宋体" w:cs="宋体"/>
          <w:sz w:val="32"/>
          <w:szCs w:val="32"/>
        </w:rPr>
        <w:fldChar w:fldCharType="separate"/>
      </w:r>
      <w:r>
        <w:rPr>
          <w:rFonts w:hint="eastAsia" w:ascii="宋体" w:hAnsi="宋体" w:eastAsia="宋体" w:cs="宋体"/>
          <w:sz w:val="32"/>
          <w:szCs w:val="32"/>
        </w:rPr>
        <w:t>15</w:t>
      </w:r>
      <w:r>
        <w:rPr>
          <w:rFonts w:hint="eastAsia" w:ascii="宋体" w:hAnsi="宋体" w:eastAsia="宋体" w:cs="宋体"/>
          <w:sz w:val="32"/>
          <w:szCs w:val="32"/>
        </w:rPr>
        <w:fldChar w:fldCharType="end"/>
      </w:r>
      <w:r>
        <w:rPr>
          <w:rFonts w:hint="eastAsia" w:ascii="宋体" w:hAnsi="宋体" w:eastAsia="宋体" w:cs="宋体"/>
          <w:spacing w:val="6"/>
          <w:sz w:val="32"/>
          <w:szCs w:val="32"/>
        </w:rPr>
        <w:fldChar w:fldCharType="end"/>
      </w:r>
    </w:p>
    <w:p w14:paraId="45A4BF0F">
      <w:pPr>
        <w:widowControl/>
        <w:wordWrap w:val="0"/>
        <w:spacing w:line="720" w:lineRule="exact"/>
        <w:rPr>
          <w:rFonts w:hint="eastAsia" w:ascii="黑体" w:hAnsi="黑体" w:eastAsia="黑体" w:cs="黑体"/>
          <w:spacing w:val="6"/>
          <w:sz w:val="44"/>
          <w:szCs w:val="44"/>
        </w:rPr>
      </w:pPr>
      <w:r>
        <w:rPr>
          <w:rFonts w:hint="eastAsia" w:ascii="宋体" w:hAnsi="宋体" w:eastAsia="宋体" w:cs="宋体"/>
          <w:spacing w:val="6"/>
          <w:sz w:val="32"/>
          <w:szCs w:val="32"/>
        </w:rPr>
        <w:fldChar w:fldCharType="end"/>
      </w:r>
    </w:p>
    <w:p w14:paraId="11A07477">
      <w:pPr>
        <w:widowControl/>
        <w:wordWrap w:val="0"/>
        <w:spacing w:line="720" w:lineRule="exact"/>
        <w:rPr>
          <w:rFonts w:ascii="Times New Roman" w:hAnsi="Times New Roman" w:eastAsia="方正小标宋_GBK" w:cs="Times New Roman"/>
          <w:spacing w:val="6"/>
          <w:sz w:val="44"/>
          <w:szCs w:val="44"/>
        </w:rPr>
      </w:pPr>
      <w:r>
        <w:rPr>
          <w:rFonts w:ascii="Times New Roman" w:hAnsi="Times New Roman" w:eastAsia="方正小标宋_GBK" w:cs="Times New Roman"/>
          <w:spacing w:val="6"/>
          <w:sz w:val="44"/>
          <w:szCs w:val="44"/>
        </w:rPr>
        <w:br w:type="page"/>
      </w:r>
    </w:p>
    <w:p w14:paraId="109E89AC">
      <w:pPr>
        <w:pStyle w:val="2"/>
        <w:pageBreakBefore w:val="0"/>
        <w:kinsoku/>
        <w:wordWrap/>
        <w:overflowPunct/>
        <w:topLinePunct w:val="0"/>
        <w:autoSpaceDE/>
        <w:autoSpaceDN/>
        <w:bidi w:val="0"/>
        <w:adjustRightInd/>
        <w:snapToGrid w:val="0"/>
        <w:spacing w:line="360" w:lineRule="auto"/>
        <w:ind w:left="0" w:firstLine="643"/>
        <w:textAlignment w:val="auto"/>
        <w:rPr>
          <w:rFonts w:hint="eastAsia"/>
          <w:b w:val="0"/>
          <w:bCs/>
          <w:color w:val="auto"/>
        </w:rPr>
      </w:pPr>
      <w:bookmarkStart w:id="2" w:name="_Toc202364468"/>
      <w:bookmarkStart w:id="3" w:name="_Toc47674656"/>
      <w:r>
        <w:rPr>
          <w:rFonts w:hint="eastAsia"/>
          <w:b w:val="0"/>
          <w:bCs/>
          <w:color w:val="auto"/>
        </w:rPr>
        <w:t>竞赛</w:t>
      </w:r>
      <w:bookmarkEnd w:id="2"/>
      <w:r>
        <w:rPr>
          <w:rFonts w:hint="eastAsia"/>
          <w:b w:val="0"/>
          <w:bCs/>
          <w:color w:val="auto"/>
        </w:rPr>
        <w:t>概述</w:t>
      </w:r>
      <w:bookmarkEnd w:id="3"/>
    </w:p>
    <w:p w14:paraId="7019DC9F">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为深入贯彻落实党的二十大报告关于强化网络、数据等安全保障体系建设的重大决策部署，紧密结合浙江在数字经济领域的领先地位与蓬勃发展态势，积极响应全国电信和互联网行业关于推动行业人才交流的号召，秉持“以赛促学、以赛促练”的宗旨，开展实战、场景竞赛，促进行业数据安全高技能人才队伍发展，助力支撑加快推进浙江省</w:t>
      </w:r>
      <w:r>
        <w:rPr>
          <w:rFonts w:hint="eastAsia" w:ascii="仿宋_GB2312" w:hAnsi="仿宋" w:eastAsia="仿宋_GB2312" w:cs="宋体"/>
          <w:kern w:val="0"/>
          <w:sz w:val="32"/>
          <w:szCs w:val="32"/>
          <w:lang w:eastAsia="zh-CN"/>
        </w:rPr>
        <w:t>新型</w:t>
      </w:r>
      <w:r>
        <w:rPr>
          <w:rFonts w:hint="eastAsia" w:ascii="仿宋_GB2312" w:hAnsi="仿宋" w:eastAsia="仿宋_GB2312" w:cs="宋体"/>
          <w:kern w:val="0"/>
          <w:sz w:val="32"/>
          <w:szCs w:val="32"/>
        </w:rPr>
        <w:t>工业化和网络强省建设。</w:t>
      </w:r>
    </w:p>
    <w:p w14:paraId="39DE2B81">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竞赛以《国家职业技能标准》中关于数据安全管理员高级工（国家职业资格三级）的要求为基础，适当增加技师（国家职业资格二级）内容及相关新知识、新技能，从政策法规标准、网络安全、数据安全等技术要点展开，全方位考核参赛选手的网络安全和数据安全综合能力。</w:t>
      </w:r>
    </w:p>
    <w:p w14:paraId="1292E597">
      <w:pPr>
        <w:pStyle w:val="2"/>
        <w:pageBreakBefore w:val="0"/>
        <w:kinsoku/>
        <w:wordWrap/>
        <w:overflowPunct/>
        <w:topLinePunct w:val="0"/>
        <w:autoSpaceDE/>
        <w:autoSpaceDN/>
        <w:bidi w:val="0"/>
        <w:adjustRightInd/>
        <w:snapToGrid w:val="0"/>
        <w:spacing w:line="360" w:lineRule="auto"/>
        <w:ind w:left="0" w:firstLine="643"/>
        <w:textAlignment w:val="auto"/>
        <w:rPr>
          <w:rFonts w:hint="eastAsia"/>
          <w:b w:val="0"/>
          <w:bCs/>
          <w:color w:val="auto"/>
        </w:rPr>
      </w:pPr>
      <w:bookmarkStart w:id="4" w:name="_Toc202364473"/>
      <w:bookmarkStart w:id="5" w:name="_Toc1022110535"/>
      <w:r>
        <w:rPr>
          <w:rFonts w:hint="eastAsia"/>
          <w:b w:val="0"/>
          <w:bCs/>
          <w:color w:val="auto"/>
        </w:rPr>
        <w:t>竞赛内容</w:t>
      </w:r>
      <w:bookmarkEnd w:id="4"/>
      <w:bookmarkEnd w:id="5"/>
    </w:p>
    <w:p w14:paraId="2DACA62D">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竞赛围绕算力网络、5G网络、人工智能、软件供应链等重点业务和应用方向，针对数据窃取、数据加密、恶意流量攻击等纷繁复杂安全事件的检测、防御和处置工作内容，结合联防联控、实战指挥体系下的岗位设置及人员技能需求，面向电信和互联网重要业务场景下典型、高水平安全风险的防范应对，以理论考察、实践操作等多种形式，充分考察参赛选手各项安全技能掌握水平。</w:t>
      </w:r>
    </w:p>
    <w:p w14:paraId="721AD3C0">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竞赛分为初赛和决赛两个赛段。</w:t>
      </w:r>
    </w:p>
    <w:p w14:paraId="71BBC0D0">
      <w:pPr>
        <w:pStyle w:val="3"/>
        <w:keepNext/>
        <w:keepLines/>
        <w:pageBreakBefore w:val="0"/>
        <w:widowControl w:val="0"/>
        <w:numPr>
          <w:ilvl w:val="0"/>
          <w:numId w:val="0"/>
        </w:numPr>
        <w:kinsoku/>
        <w:wordWrap/>
        <w:overflowPunct/>
        <w:topLinePunct w:val="0"/>
        <w:autoSpaceDE/>
        <w:autoSpaceDN/>
        <w:bidi w:val="0"/>
        <w:adjustRightInd/>
        <w:snapToGrid w:val="0"/>
        <w:spacing w:line="360" w:lineRule="auto"/>
        <w:ind w:left="0" w:firstLine="640" w:firstLineChars="200"/>
        <w:textAlignment w:val="auto"/>
        <w:rPr>
          <w:rFonts w:hint="eastAsia" w:ascii="楷体_GB2312" w:hAnsi="楷体_GB2312" w:eastAsia="楷体_GB2312" w:cs="楷体_GB2312"/>
          <w:b w:val="0"/>
          <w:bCs/>
          <w:sz w:val="32"/>
          <w:szCs w:val="32"/>
        </w:rPr>
      </w:pPr>
      <w:bookmarkStart w:id="6" w:name="_Toc1879503977"/>
      <w:r>
        <w:rPr>
          <w:rFonts w:hint="eastAsia" w:ascii="楷体_GB2312" w:hAnsi="楷体_GB2312" w:eastAsia="楷体_GB2312" w:cs="楷体_GB2312"/>
          <w:b w:val="0"/>
          <w:bCs/>
          <w:sz w:val="32"/>
          <w:szCs w:val="32"/>
        </w:rPr>
        <w:t>2.1初赛赛段</w:t>
      </w:r>
      <w:bookmarkEnd w:id="6"/>
    </w:p>
    <w:p w14:paraId="4E29F190">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初赛通过线上选拔方式，采用个人赛"理论考核+实战解题"模式。理论考试侧重网络安全政策法规、标准规范等基础知识测评；实战解题环节聚焦数据安全、系统安全、移动安全、云安全、密码学等核心领域。</w:t>
      </w:r>
    </w:p>
    <w:p w14:paraId="63BC4917">
      <w:pPr>
        <w:pStyle w:val="3"/>
        <w:keepNext/>
        <w:keepLines/>
        <w:pageBreakBefore w:val="0"/>
        <w:widowControl w:val="0"/>
        <w:numPr>
          <w:ilvl w:val="0"/>
          <w:numId w:val="0"/>
        </w:numPr>
        <w:kinsoku/>
        <w:wordWrap/>
        <w:overflowPunct/>
        <w:topLinePunct w:val="0"/>
        <w:autoSpaceDE/>
        <w:autoSpaceDN/>
        <w:bidi w:val="0"/>
        <w:adjustRightInd/>
        <w:snapToGrid w:val="0"/>
        <w:spacing w:line="360" w:lineRule="auto"/>
        <w:ind w:left="0" w:firstLine="640" w:firstLineChars="200"/>
        <w:textAlignment w:val="auto"/>
        <w:rPr>
          <w:rFonts w:hint="eastAsia" w:ascii="楷体_GB2312" w:hAnsi="楷体_GB2312" w:eastAsia="楷体_GB2312" w:cs="楷体_GB2312"/>
          <w:b w:val="0"/>
          <w:bCs/>
          <w:sz w:val="32"/>
          <w:szCs w:val="32"/>
        </w:rPr>
      </w:pPr>
      <w:bookmarkStart w:id="7" w:name="_Toc470477179"/>
      <w:r>
        <w:rPr>
          <w:rFonts w:hint="eastAsia" w:ascii="楷体_GB2312" w:hAnsi="楷体_GB2312" w:eastAsia="楷体_GB2312" w:cs="楷体_GB2312"/>
          <w:b w:val="0"/>
          <w:bCs/>
          <w:sz w:val="32"/>
          <w:szCs w:val="32"/>
        </w:rPr>
        <w:t>2.2决赛赛段</w:t>
      </w:r>
      <w:bookmarkEnd w:id="7"/>
    </w:p>
    <w:p w14:paraId="4B895806">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决赛采用线下方式，分为个人赛和团队赛两个环节，个人赛采用"理论考核+实战解题"模式，团队赛环节采用综合场景题模式。</w:t>
      </w:r>
    </w:p>
    <w:p w14:paraId="2D95954E">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理论考核部分涵盖数据安全、系统安全、网络安全、软件安全、移动安全、安全法规及相关标准等知识点；实战解题部分聚焦网络安全和数据安全核心领域，设置数据安全管理、加密流量分析及追踪、综合情报分析、应急响应、数字取证、综合渗透等实操题型。</w:t>
      </w:r>
    </w:p>
    <w:p w14:paraId="679494C1">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 w:hAnsi="仿宋" w:eastAsia="仿宋" w:cs="宋体"/>
          <w:kern w:val="0"/>
          <w:sz w:val="32"/>
          <w:szCs w:val="32"/>
        </w:rPr>
        <w:t>团队赛环节采用综合场景题模式，赛题聚焦数据安全全生命周期及常规网络安全应急处置，场景设计涵盖敏感信息泄露防护、数据分类分级管理、细粒度权限控制等实际业务痛点，并融入数字水印技术、常见加解密算法等关键技术应用，全面评估团队的技术实力和协作能力。</w:t>
      </w:r>
    </w:p>
    <w:p w14:paraId="358A64F2">
      <w:pPr>
        <w:pStyle w:val="2"/>
        <w:pageBreakBefore w:val="0"/>
        <w:kinsoku/>
        <w:wordWrap/>
        <w:overflowPunct/>
        <w:topLinePunct w:val="0"/>
        <w:autoSpaceDE/>
        <w:autoSpaceDN/>
        <w:bidi w:val="0"/>
        <w:adjustRightInd/>
        <w:snapToGrid w:val="0"/>
        <w:spacing w:line="360" w:lineRule="auto"/>
        <w:ind w:left="0" w:firstLine="643"/>
        <w:textAlignment w:val="auto"/>
        <w:rPr>
          <w:rFonts w:hint="eastAsia"/>
          <w:b w:val="0"/>
          <w:bCs/>
          <w:color w:val="auto"/>
        </w:rPr>
      </w:pPr>
      <w:bookmarkStart w:id="8" w:name="_Toc202364481"/>
      <w:bookmarkStart w:id="9" w:name="_Toc1802351408"/>
      <w:r>
        <w:rPr>
          <w:rFonts w:hint="eastAsia"/>
          <w:b w:val="0"/>
          <w:bCs/>
          <w:color w:val="auto"/>
        </w:rPr>
        <w:t>竞赛</w:t>
      </w:r>
      <w:bookmarkEnd w:id="8"/>
      <w:r>
        <w:rPr>
          <w:rFonts w:hint="eastAsia"/>
          <w:b w:val="0"/>
          <w:bCs/>
          <w:color w:val="auto"/>
        </w:rPr>
        <w:t>规则</w:t>
      </w:r>
      <w:bookmarkEnd w:id="9"/>
    </w:p>
    <w:p w14:paraId="194F6CBC">
      <w:pPr>
        <w:pStyle w:val="3"/>
        <w:keepNext/>
        <w:keepLines/>
        <w:pageBreakBefore w:val="0"/>
        <w:widowControl w:val="0"/>
        <w:numPr>
          <w:ilvl w:val="0"/>
          <w:numId w:val="0"/>
        </w:numPr>
        <w:kinsoku/>
        <w:wordWrap/>
        <w:overflowPunct/>
        <w:topLinePunct w:val="0"/>
        <w:autoSpaceDE/>
        <w:autoSpaceDN/>
        <w:bidi w:val="0"/>
        <w:adjustRightInd/>
        <w:snapToGrid w:val="0"/>
        <w:spacing w:line="360" w:lineRule="auto"/>
        <w:ind w:left="0" w:firstLine="640" w:firstLineChars="200"/>
        <w:textAlignment w:val="auto"/>
        <w:rPr>
          <w:rFonts w:hint="eastAsia" w:ascii="楷体_GB2312" w:hAnsi="楷体_GB2312" w:eastAsia="楷体_GB2312" w:cs="楷体_GB2312"/>
          <w:b w:val="0"/>
          <w:bCs/>
          <w:sz w:val="32"/>
          <w:szCs w:val="32"/>
        </w:rPr>
      </w:pPr>
      <w:bookmarkStart w:id="10" w:name="_Toc1630069746"/>
      <w:r>
        <w:rPr>
          <w:rFonts w:hint="eastAsia" w:ascii="楷体_GB2312" w:hAnsi="楷体_GB2312" w:eastAsia="楷体_GB2312" w:cs="楷体_GB2312"/>
          <w:b w:val="0"/>
          <w:bCs/>
          <w:sz w:val="32"/>
          <w:szCs w:val="32"/>
        </w:rPr>
        <w:t>3.1初赛赛段</w:t>
      </w:r>
      <w:bookmarkEnd w:id="10"/>
    </w:p>
    <w:p w14:paraId="4AAC5B69">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初赛比赛时长240分钟，前60分钟进行理论考试，后180分钟进行实战解题，比赛开始时同步放出理论答题界面和实操界面，比赛开始60分钟后关闭理论答题界面。</w:t>
      </w:r>
    </w:p>
    <w:p w14:paraId="23C1A3BD">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初赛总分为1000分，其中理论考核200分，实操考核800分。</w:t>
      </w:r>
    </w:p>
    <w:p w14:paraId="15F4CF65">
      <w:pPr>
        <w:pStyle w:val="3"/>
        <w:keepNext/>
        <w:keepLines/>
        <w:pageBreakBefore w:val="0"/>
        <w:widowControl w:val="0"/>
        <w:numPr>
          <w:ilvl w:val="0"/>
          <w:numId w:val="0"/>
        </w:numPr>
        <w:kinsoku/>
        <w:wordWrap/>
        <w:overflowPunct/>
        <w:topLinePunct w:val="0"/>
        <w:autoSpaceDE/>
        <w:autoSpaceDN/>
        <w:bidi w:val="0"/>
        <w:adjustRightInd/>
        <w:snapToGrid w:val="0"/>
        <w:spacing w:line="360" w:lineRule="auto"/>
        <w:ind w:left="0" w:firstLine="640" w:firstLineChars="200"/>
        <w:textAlignment w:val="auto"/>
        <w:rPr>
          <w:rFonts w:hint="eastAsia" w:ascii="楷体_GB2312" w:hAnsi="楷体_GB2312" w:eastAsia="楷体_GB2312" w:cs="楷体_GB2312"/>
          <w:b w:val="0"/>
          <w:bCs/>
          <w:sz w:val="32"/>
          <w:szCs w:val="32"/>
        </w:rPr>
      </w:pPr>
      <w:bookmarkStart w:id="11" w:name="_Toc1355179278"/>
      <w:r>
        <w:rPr>
          <w:rFonts w:hint="eastAsia" w:ascii="楷体_GB2312" w:hAnsi="楷体_GB2312" w:eastAsia="楷体_GB2312" w:cs="楷体_GB2312"/>
          <w:b w:val="0"/>
          <w:bCs/>
          <w:sz w:val="32"/>
          <w:szCs w:val="32"/>
        </w:rPr>
        <w:t>3.2决赛赛段</w:t>
      </w:r>
      <w:bookmarkEnd w:id="11"/>
    </w:p>
    <w:p w14:paraId="3577265F">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决赛个人赛比赛时长180分钟，</w:t>
      </w:r>
      <w:bookmarkStart w:id="12" w:name="OLE_LINK1"/>
      <w:r>
        <w:rPr>
          <w:rFonts w:hint="eastAsia" w:ascii="仿宋_GB2312" w:hAnsi="仿宋" w:eastAsia="仿宋_GB2312" w:cs="宋体"/>
          <w:kern w:val="0"/>
          <w:sz w:val="32"/>
          <w:szCs w:val="32"/>
        </w:rPr>
        <w:t>前60分钟进行理论考试，后120分钟进行实战解题，比赛开始时同步放出理论答题界面和实操界面，比赛开始60分钟后关闭理论答题界面。</w:t>
      </w:r>
    </w:p>
    <w:bookmarkEnd w:id="12"/>
    <w:p w14:paraId="6EF3CAC9">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决赛团队赛比赛时长180分钟，主要是数据安全场景实操考核。</w:t>
      </w:r>
    </w:p>
    <w:p w14:paraId="036A6C5D">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决赛个人赛和团队赛总分均为1000分，其中个人赛理论考试200分，夺旗实操考核800分；团队赛场景考核总分1000分。参赛选手需在规定时间内作答，提交正确答案得分，并按分数高低决出本次比赛的优胜者。如出现同分现象，先达到实操考核成绩最终分数者排名靠前。</w:t>
      </w:r>
    </w:p>
    <w:p w14:paraId="49D68FF7">
      <w:pPr>
        <w:pStyle w:val="3"/>
        <w:keepNext/>
        <w:keepLines/>
        <w:pageBreakBefore w:val="0"/>
        <w:widowControl w:val="0"/>
        <w:numPr>
          <w:ilvl w:val="0"/>
          <w:numId w:val="0"/>
        </w:numPr>
        <w:kinsoku/>
        <w:wordWrap/>
        <w:overflowPunct/>
        <w:topLinePunct w:val="0"/>
        <w:autoSpaceDE/>
        <w:autoSpaceDN/>
        <w:bidi w:val="0"/>
        <w:adjustRightInd/>
        <w:snapToGrid w:val="0"/>
        <w:spacing w:line="360" w:lineRule="auto"/>
        <w:ind w:left="0" w:firstLine="640" w:firstLineChars="200"/>
        <w:textAlignment w:val="auto"/>
        <w:rPr>
          <w:rFonts w:hint="eastAsia" w:ascii="楷体_GB2312" w:hAnsi="楷体_GB2312" w:eastAsia="楷体_GB2312" w:cs="楷体_GB2312"/>
          <w:b w:val="0"/>
          <w:bCs/>
          <w:sz w:val="32"/>
          <w:szCs w:val="32"/>
        </w:rPr>
      </w:pPr>
      <w:bookmarkStart w:id="13" w:name="_Toc202364486"/>
      <w:bookmarkStart w:id="14" w:name="_Toc608851388"/>
      <w:r>
        <w:rPr>
          <w:rFonts w:hint="eastAsia" w:ascii="楷体_GB2312" w:hAnsi="楷体_GB2312" w:eastAsia="楷体_GB2312" w:cs="楷体_GB2312"/>
          <w:b w:val="0"/>
          <w:bCs/>
          <w:sz w:val="32"/>
          <w:szCs w:val="32"/>
        </w:rPr>
        <w:t>3.3评判方法</w:t>
      </w:r>
      <w:bookmarkEnd w:id="13"/>
      <w:bookmarkEnd w:id="14"/>
    </w:p>
    <w:p w14:paraId="475DCDF2">
      <w:pPr>
        <w:pStyle w:val="41"/>
        <w:pageBreakBefore w:val="0"/>
        <w:numPr>
          <w:ilvl w:val="0"/>
          <w:numId w:val="2"/>
        </w:numPr>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理论考试中参赛选手需根据题目描述，选择合适选项进行作答，题目作答过程中计时不中断，参赛选手作答完毕点击交卷完成理论考试，若在规定时间内未完成交卷，系统自动提交计分。</w:t>
      </w:r>
    </w:p>
    <w:p w14:paraId="74B2A73C">
      <w:pPr>
        <w:pStyle w:val="41"/>
        <w:pageBreakBefore w:val="0"/>
        <w:numPr>
          <w:ilvl w:val="0"/>
          <w:numId w:val="2"/>
        </w:numPr>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数据安全实战解题和数据安全场景实操考核每道题目有且仅有一个正确Flag，参赛选手根据题目要求格式提交，通过提交Flag验证，系统自动计分。</w:t>
      </w:r>
    </w:p>
    <w:p w14:paraId="0B55DD02">
      <w:pPr>
        <w:pStyle w:val="3"/>
        <w:keepNext/>
        <w:keepLines/>
        <w:pageBreakBefore w:val="0"/>
        <w:widowControl w:val="0"/>
        <w:numPr>
          <w:ilvl w:val="0"/>
          <w:numId w:val="0"/>
        </w:numPr>
        <w:kinsoku/>
        <w:wordWrap/>
        <w:overflowPunct/>
        <w:topLinePunct w:val="0"/>
        <w:autoSpaceDE/>
        <w:autoSpaceDN/>
        <w:bidi w:val="0"/>
        <w:adjustRightInd/>
        <w:snapToGrid w:val="0"/>
        <w:spacing w:line="360" w:lineRule="auto"/>
        <w:ind w:left="0" w:firstLine="640" w:firstLineChars="200"/>
        <w:textAlignment w:val="auto"/>
        <w:rPr>
          <w:rFonts w:hint="eastAsia" w:ascii="楷体_GB2312" w:hAnsi="楷体_GB2312" w:eastAsia="楷体_GB2312" w:cs="楷体_GB2312"/>
          <w:b w:val="0"/>
          <w:bCs/>
          <w:sz w:val="32"/>
          <w:szCs w:val="32"/>
        </w:rPr>
      </w:pPr>
      <w:bookmarkStart w:id="15" w:name="_Toc847339528"/>
      <w:r>
        <w:rPr>
          <w:rFonts w:hint="eastAsia" w:ascii="楷体_GB2312" w:hAnsi="楷体_GB2312" w:eastAsia="楷体_GB2312" w:cs="楷体_GB2312"/>
          <w:b w:val="0"/>
          <w:bCs/>
          <w:sz w:val="32"/>
          <w:szCs w:val="32"/>
        </w:rPr>
        <w:t>3.4申诉与仲裁</w:t>
      </w:r>
      <w:bookmarkEnd w:id="15"/>
    </w:p>
    <w:p w14:paraId="17B266CA">
      <w:pPr>
        <w:pageBreakBefore w:val="0"/>
        <w:kinsoku/>
        <w:wordWrap/>
        <w:overflowPunct/>
        <w:topLinePunct w:val="0"/>
        <w:autoSpaceDE/>
        <w:autoSpaceDN/>
        <w:bidi w:val="0"/>
        <w:adjustRightInd/>
        <w:snapToGrid w:val="0"/>
        <w:spacing w:line="360" w:lineRule="auto"/>
        <w:ind w:left="0"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在竞赛过程中若出现有失公正、选手对成绩有异议、有关人员违规等现象，各领队可在比赛结束后1小时之内向大赛组委会办公室提出书面申诉，非书面申诉不予受理。书面申诉应对申诉事件的现象发生时间、涉及人员等行实事求是的叙述，并提供事实依据(无事实依据或主观臆断不予受理)，经各领队亲笔签名后提交。大赛组委会办公室在接到书面申诉后2小时内组织相关人员复议，并及时将复议结果以书面形式告知申诉方。</w:t>
      </w:r>
    </w:p>
    <w:p w14:paraId="61124BE2">
      <w:pPr>
        <w:pStyle w:val="2"/>
        <w:pageBreakBefore w:val="0"/>
        <w:kinsoku/>
        <w:wordWrap/>
        <w:overflowPunct/>
        <w:topLinePunct w:val="0"/>
        <w:autoSpaceDE/>
        <w:autoSpaceDN/>
        <w:bidi w:val="0"/>
        <w:adjustRightInd/>
        <w:snapToGrid w:val="0"/>
        <w:spacing w:line="360" w:lineRule="auto"/>
        <w:ind w:left="0" w:firstLine="643"/>
        <w:textAlignment w:val="auto"/>
        <w:rPr>
          <w:rFonts w:hint="eastAsia"/>
          <w:b w:val="0"/>
          <w:bCs/>
          <w:color w:val="auto"/>
        </w:rPr>
      </w:pPr>
      <w:bookmarkStart w:id="16" w:name="_Toc1011939793"/>
      <w:r>
        <w:rPr>
          <w:rFonts w:hint="eastAsia"/>
          <w:b w:val="0"/>
          <w:bCs/>
          <w:color w:val="auto"/>
        </w:rPr>
        <w:t>竞赛场地与设备</w:t>
      </w:r>
      <w:bookmarkEnd w:id="16"/>
    </w:p>
    <w:p w14:paraId="066711E0">
      <w:pPr>
        <w:pStyle w:val="3"/>
        <w:keepNext/>
        <w:keepLines/>
        <w:pageBreakBefore w:val="0"/>
        <w:widowControl w:val="0"/>
        <w:numPr>
          <w:ilvl w:val="0"/>
          <w:numId w:val="0"/>
        </w:numPr>
        <w:kinsoku/>
        <w:wordWrap/>
        <w:overflowPunct/>
        <w:topLinePunct w:val="0"/>
        <w:autoSpaceDE/>
        <w:autoSpaceDN/>
        <w:bidi w:val="0"/>
        <w:adjustRightInd/>
        <w:snapToGrid w:val="0"/>
        <w:spacing w:line="360" w:lineRule="auto"/>
        <w:ind w:left="0" w:firstLine="640" w:firstLineChars="200"/>
        <w:textAlignment w:val="auto"/>
        <w:rPr>
          <w:rFonts w:hint="eastAsia" w:ascii="楷体_GB2312" w:hAnsi="楷体_GB2312" w:eastAsia="楷体_GB2312" w:cs="楷体_GB2312"/>
          <w:b w:val="0"/>
          <w:bCs/>
          <w:sz w:val="32"/>
          <w:szCs w:val="32"/>
        </w:rPr>
      </w:pPr>
      <w:bookmarkStart w:id="17" w:name="_Toc1428456731"/>
      <w:r>
        <w:rPr>
          <w:rFonts w:hint="eastAsia" w:ascii="楷体_GB2312" w:hAnsi="楷体_GB2312" w:eastAsia="楷体_GB2312" w:cs="楷体_GB2312"/>
          <w:b w:val="0"/>
          <w:bCs/>
          <w:sz w:val="32"/>
          <w:szCs w:val="32"/>
        </w:rPr>
        <w:t>4.1赛项设备配备情况</w:t>
      </w:r>
      <w:bookmarkEnd w:id="17"/>
    </w:p>
    <w:p w14:paraId="3B256A95">
      <w:pPr>
        <w:keepNext w:val="0"/>
        <w:keepLines w:val="0"/>
        <w:pageBreakBefore w:val="0"/>
        <w:widowControl/>
        <w:kinsoku/>
        <w:wordWrap/>
        <w:overflowPunct/>
        <w:topLinePunct w:val="0"/>
        <w:autoSpaceDE/>
        <w:autoSpaceDN/>
        <w:bidi w:val="0"/>
        <w:adjustRightInd/>
        <w:snapToGrid w:val="0"/>
        <w:spacing w:line="360" w:lineRule="auto"/>
        <w:ind w:left="0" w:firstLine="643"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kern w:val="0"/>
          <w:sz w:val="32"/>
          <w:szCs w:val="32"/>
          <w:lang w:bidi="ar"/>
        </w:rPr>
        <w:t xml:space="preserve">（1）赛项平台技术参数 </w:t>
      </w:r>
    </w:p>
    <w:p w14:paraId="2576B66A">
      <w:pPr>
        <w:pageBreakBefore w:val="0"/>
        <w:widowControl/>
        <w:kinsoku/>
        <w:wordWrap/>
        <w:overflowPunct/>
        <w:topLinePunct w:val="0"/>
        <w:autoSpaceDE/>
        <w:autoSpaceDN/>
        <w:bidi w:val="0"/>
        <w:adjustRightInd/>
        <w:snapToGrid w:val="0"/>
        <w:spacing w:line="360" w:lineRule="auto"/>
        <w:ind w:left="0" w:firstLine="640" w:firstLineChars="200"/>
        <w:jc w:val="left"/>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主要参数规格如下：</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523"/>
        <w:gridCol w:w="6194"/>
      </w:tblGrid>
      <w:tr w14:paraId="6C0F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Align w:val="center"/>
          </w:tcPr>
          <w:p w14:paraId="5640C3A4">
            <w:pPr>
              <w:rPr>
                <w:rFonts w:hint="eastAsia" w:ascii="仿宋_GB2312" w:hAnsi="宋体" w:eastAsia="仿宋_GB2312" w:cs="宋体"/>
                <w:sz w:val="24"/>
                <w:szCs w:val="24"/>
              </w:rPr>
            </w:pPr>
            <w:r>
              <w:rPr>
                <w:rFonts w:hint="eastAsia" w:ascii="仿宋_GB2312" w:hAnsi="宋体" w:eastAsia="仿宋_GB2312" w:cs="宋体"/>
                <w:sz w:val="24"/>
                <w:szCs w:val="24"/>
              </w:rPr>
              <w:t>序号</w:t>
            </w:r>
          </w:p>
        </w:tc>
        <w:tc>
          <w:tcPr>
            <w:tcW w:w="894" w:type="pct"/>
            <w:vAlign w:val="center"/>
          </w:tcPr>
          <w:p w14:paraId="0D9E6131">
            <w:pPr>
              <w:widowControl/>
              <w:jc w:val="left"/>
              <w:rPr>
                <w:rFonts w:hint="eastAsia" w:ascii="仿宋_GB2312" w:hAnsi="宋体" w:eastAsia="仿宋_GB2312" w:cs="宋体"/>
                <w:sz w:val="24"/>
                <w:szCs w:val="24"/>
              </w:rPr>
            </w:pPr>
            <w:r>
              <w:rPr>
                <w:rFonts w:hint="eastAsia" w:ascii="仿宋_GB2312" w:hAnsi="宋体" w:eastAsia="仿宋_GB2312" w:cs="宋体"/>
                <w:color w:val="000000"/>
                <w:kern w:val="0"/>
                <w:sz w:val="24"/>
                <w:szCs w:val="24"/>
                <w:lang w:bidi="ar"/>
              </w:rPr>
              <w:t>指标项</w:t>
            </w:r>
          </w:p>
        </w:tc>
        <w:tc>
          <w:tcPr>
            <w:tcW w:w="3636" w:type="pct"/>
            <w:vAlign w:val="center"/>
          </w:tcPr>
          <w:p w14:paraId="10035CE3">
            <w:pPr>
              <w:jc w:val="center"/>
              <w:rPr>
                <w:rFonts w:hint="eastAsia" w:ascii="仿宋_GB2312" w:hAnsi="宋体" w:eastAsia="仿宋_GB2312" w:cs="宋体"/>
                <w:sz w:val="24"/>
                <w:szCs w:val="24"/>
              </w:rPr>
            </w:pPr>
            <w:r>
              <w:rPr>
                <w:rFonts w:hint="eastAsia" w:ascii="仿宋_GB2312" w:hAnsi="宋体" w:eastAsia="仿宋_GB2312" w:cs="宋体"/>
                <w:sz w:val="24"/>
                <w:szCs w:val="24"/>
              </w:rPr>
              <w:t>型号规格</w:t>
            </w:r>
          </w:p>
        </w:tc>
      </w:tr>
      <w:tr w14:paraId="51DC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Merge w:val="restart"/>
            <w:vAlign w:val="center"/>
          </w:tcPr>
          <w:p w14:paraId="1A61778E">
            <w:pPr>
              <w:rPr>
                <w:rFonts w:hint="eastAsia" w:ascii="仿宋_GB2312" w:hAnsi="宋体" w:eastAsia="仿宋_GB2312" w:cs="宋体"/>
                <w:sz w:val="24"/>
                <w:szCs w:val="24"/>
              </w:rPr>
            </w:pPr>
            <w:r>
              <w:rPr>
                <w:rFonts w:hint="eastAsia" w:ascii="仿宋_GB2312" w:hAnsi="宋体" w:eastAsia="仿宋_GB2312" w:cs="宋体"/>
                <w:sz w:val="24"/>
                <w:szCs w:val="24"/>
              </w:rPr>
              <w:t>1</w:t>
            </w:r>
          </w:p>
        </w:tc>
        <w:tc>
          <w:tcPr>
            <w:tcW w:w="894" w:type="pct"/>
            <w:vMerge w:val="restart"/>
            <w:vAlign w:val="center"/>
          </w:tcPr>
          <w:p w14:paraId="0695E203">
            <w:pPr>
              <w:widowControl/>
              <w:jc w:val="left"/>
              <w:rPr>
                <w:rFonts w:hint="eastAsia" w:ascii="仿宋_GB2312" w:hAnsi="宋体" w:eastAsia="仿宋_GB2312" w:cs="宋体"/>
                <w:sz w:val="24"/>
                <w:szCs w:val="24"/>
              </w:rPr>
            </w:pPr>
            <w:r>
              <w:rPr>
                <w:rFonts w:hint="eastAsia" w:ascii="仿宋_GB2312" w:hAnsi="宋体" w:eastAsia="仿宋_GB2312" w:cs="宋体"/>
                <w:color w:val="000000"/>
                <w:kern w:val="0"/>
                <w:sz w:val="24"/>
                <w:szCs w:val="24"/>
                <w:lang w:bidi="ar"/>
              </w:rPr>
              <w:t>硬件及性能</w:t>
            </w:r>
          </w:p>
        </w:tc>
        <w:tc>
          <w:tcPr>
            <w:tcW w:w="3636" w:type="pct"/>
            <w:vAlign w:val="center"/>
          </w:tcPr>
          <w:p w14:paraId="3F0C31BB">
            <w:pPr>
              <w:rPr>
                <w:rFonts w:hint="eastAsia" w:ascii="仿宋_GB2312" w:hAnsi="宋体" w:eastAsia="仿宋_GB2312" w:cs="宋体"/>
                <w:sz w:val="24"/>
                <w:szCs w:val="24"/>
              </w:rPr>
            </w:pPr>
            <w:r>
              <w:rPr>
                <w:rFonts w:hint="eastAsia" w:ascii="仿宋_GB2312" w:hAnsi="宋体" w:eastAsia="仿宋_GB2312" w:cs="宋体"/>
                <w:sz w:val="24"/>
                <w:szCs w:val="24"/>
              </w:rPr>
              <w:t>型号戴尔R7525  2U机架式服务器</w:t>
            </w:r>
          </w:p>
        </w:tc>
      </w:tr>
      <w:tr w14:paraId="6F94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Merge w:val="continue"/>
            <w:vAlign w:val="center"/>
          </w:tcPr>
          <w:p w14:paraId="18D7655F">
            <w:pPr>
              <w:rPr>
                <w:rFonts w:hint="eastAsia" w:ascii="仿宋_GB2312" w:hAnsi="宋体" w:eastAsia="仿宋_GB2312" w:cs="宋体"/>
                <w:sz w:val="24"/>
                <w:szCs w:val="24"/>
              </w:rPr>
            </w:pPr>
          </w:p>
        </w:tc>
        <w:tc>
          <w:tcPr>
            <w:tcW w:w="894" w:type="pct"/>
            <w:vMerge w:val="continue"/>
            <w:vAlign w:val="center"/>
          </w:tcPr>
          <w:p w14:paraId="1A58BE49">
            <w:pPr>
              <w:rPr>
                <w:rFonts w:hint="eastAsia" w:ascii="仿宋_GB2312" w:hAnsi="宋体" w:eastAsia="仿宋_GB2312" w:cs="宋体"/>
                <w:sz w:val="24"/>
                <w:szCs w:val="24"/>
              </w:rPr>
            </w:pPr>
          </w:p>
        </w:tc>
        <w:tc>
          <w:tcPr>
            <w:tcW w:w="3636" w:type="pct"/>
            <w:vAlign w:val="center"/>
          </w:tcPr>
          <w:p w14:paraId="5988C904">
            <w:pPr>
              <w:rPr>
                <w:rFonts w:hint="eastAsia" w:ascii="仿宋_GB2312" w:hAnsi="宋体" w:eastAsia="仿宋_GB2312" w:cs="宋体"/>
                <w:sz w:val="24"/>
                <w:szCs w:val="24"/>
              </w:rPr>
            </w:pPr>
            <w:r>
              <w:rPr>
                <w:rFonts w:hint="eastAsia" w:ascii="仿宋_GB2312" w:hAnsi="宋体" w:eastAsia="仿宋_GB2312" w:cs="宋体"/>
                <w:sz w:val="24"/>
                <w:szCs w:val="24"/>
              </w:rPr>
              <w:t xml:space="preserve">处理器：AMD EPYC 7H12*2 单颗64核心128线程，主频2.6GHz </w:t>
            </w:r>
          </w:p>
        </w:tc>
      </w:tr>
      <w:tr w14:paraId="6BB1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Merge w:val="continue"/>
            <w:vAlign w:val="center"/>
          </w:tcPr>
          <w:p w14:paraId="2DC387D3">
            <w:pPr>
              <w:rPr>
                <w:rFonts w:hint="eastAsia" w:ascii="仿宋_GB2312" w:hAnsi="宋体" w:eastAsia="仿宋_GB2312" w:cs="宋体"/>
                <w:sz w:val="24"/>
                <w:szCs w:val="24"/>
              </w:rPr>
            </w:pPr>
          </w:p>
        </w:tc>
        <w:tc>
          <w:tcPr>
            <w:tcW w:w="894" w:type="pct"/>
            <w:vMerge w:val="continue"/>
            <w:vAlign w:val="center"/>
          </w:tcPr>
          <w:p w14:paraId="413E799A">
            <w:pPr>
              <w:rPr>
                <w:rFonts w:hint="eastAsia" w:ascii="仿宋_GB2312" w:hAnsi="宋体" w:eastAsia="仿宋_GB2312" w:cs="宋体"/>
                <w:sz w:val="24"/>
                <w:szCs w:val="24"/>
              </w:rPr>
            </w:pPr>
          </w:p>
        </w:tc>
        <w:tc>
          <w:tcPr>
            <w:tcW w:w="3636" w:type="pct"/>
            <w:vAlign w:val="center"/>
          </w:tcPr>
          <w:p w14:paraId="14CBDB85">
            <w:pPr>
              <w:rPr>
                <w:rFonts w:hint="eastAsia" w:ascii="仿宋_GB2312" w:hAnsi="宋体" w:eastAsia="仿宋_GB2312" w:cs="宋体"/>
                <w:sz w:val="24"/>
                <w:szCs w:val="24"/>
              </w:rPr>
            </w:pPr>
            <w:r>
              <w:rPr>
                <w:rFonts w:hint="eastAsia" w:ascii="仿宋_GB2312" w:hAnsi="宋体" w:eastAsia="仿宋_GB2312" w:cs="宋体"/>
                <w:sz w:val="24"/>
                <w:szCs w:val="24"/>
              </w:rPr>
              <w:t>内存：64G DDR4 3200MHz*8</w:t>
            </w:r>
          </w:p>
        </w:tc>
      </w:tr>
      <w:tr w14:paraId="1787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Merge w:val="continue"/>
            <w:vAlign w:val="center"/>
          </w:tcPr>
          <w:p w14:paraId="08A0E24D">
            <w:pPr>
              <w:rPr>
                <w:rFonts w:hint="eastAsia" w:ascii="仿宋_GB2312" w:hAnsi="宋体" w:eastAsia="仿宋_GB2312" w:cs="宋体"/>
                <w:sz w:val="24"/>
                <w:szCs w:val="24"/>
              </w:rPr>
            </w:pPr>
          </w:p>
        </w:tc>
        <w:tc>
          <w:tcPr>
            <w:tcW w:w="894" w:type="pct"/>
            <w:vMerge w:val="continue"/>
            <w:vAlign w:val="center"/>
          </w:tcPr>
          <w:p w14:paraId="1F164DDC">
            <w:pPr>
              <w:rPr>
                <w:rFonts w:hint="eastAsia" w:ascii="仿宋_GB2312" w:hAnsi="宋体" w:eastAsia="仿宋_GB2312" w:cs="宋体"/>
                <w:sz w:val="24"/>
                <w:szCs w:val="24"/>
              </w:rPr>
            </w:pPr>
          </w:p>
        </w:tc>
        <w:tc>
          <w:tcPr>
            <w:tcW w:w="3636" w:type="pct"/>
            <w:vAlign w:val="center"/>
          </w:tcPr>
          <w:p w14:paraId="35B5B901">
            <w:pPr>
              <w:rPr>
                <w:rFonts w:hint="eastAsia" w:ascii="仿宋_GB2312" w:hAnsi="宋体" w:eastAsia="仿宋_GB2312" w:cs="宋体"/>
                <w:sz w:val="24"/>
                <w:szCs w:val="24"/>
              </w:rPr>
            </w:pPr>
            <w:r>
              <w:rPr>
                <w:rFonts w:hint="eastAsia" w:ascii="仿宋_GB2312" w:hAnsi="宋体" w:eastAsia="仿宋_GB2312" w:cs="宋体"/>
                <w:sz w:val="24"/>
                <w:szCs w:val="24"/>
              </w:rPr>
              <w:t>硬盘储存：1.92T*3</w:t>
            </w:r>
          </w:p>
        </w:tc>
      </w:tr>
      <w:tr w14:paraId="646D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Merge w:val="continue"/>
            <w:vAlign w:val="center"/>
          </w:tcPr>
          <w:p w14:paraId="378FAEE5">
            <w:pPr>
              <w:rPr>
                <w:rFonts w:hint="eastAsia" w:ascii="仿宋_GB2312" w:hAnsi="宋体" w:eastAsia="仿宋_GB2312" w:cs="宋体"/>
                <w:sz w:val="24"/>
                <w:szCs w:val="24"/>
              </w:rPr>
            </w:pPr>
          </w:p>
        </w:tc>
        <w:tc>
          <w:tcPr>
            <w:tcW w:w="894" w:type="pct"/>
            <w:vMerge w:val="continue"/>
            <w:vAlign w:val="center"/>
          </w:tcPr>
          <w:p w14:paraId="1E35495B">
            <w:pPr>
              <w:rPr>
                <w:rFonts w:hint="eastAsia" w:ascii="仿宋_GB2312" w:hAnsi="宋体" w:eastAsia="仿宋_GB2312" w:cs="宋体"/>
                <w:sz w:val="24"/>
                <w:szCs w:val="24"/>
              </w:rPr>
            </w:pPr>
          </w:p>
        </w:tc>
        <w:tc>
          <w:tcPr>
            <w:tcW w:w="3636" w:type="pct"/>
            <w:vAlign w:val="center"/>
          </w:tcPr>
          <w:p w14:paraId="7D4BEA71">
            <w:pPr>
              <w:rPr>
                <w:rFonts w:hint="eastAsia" w:ascii="仿宋_GB2312" w:hAnsi="宋体" w:eastAsia="仿宋_GB2312" w:cs="宋体"/>
                <w:sz w:val="24"/>
                <w:szCs w:val="24"/>
              </w:rPr>
            </w:pPr>
            <w:r>
              <w:rPr>
                <w:rFonts w:hint="eastAsia" w:ascii="仿宋_GB2312" w:hAnsi="宋体" w:eastAsia="仿宋_GB2312" w:cs="宋体"/>
                <w:sz w:val="24"/>
                <w:szCs w:val="24"/>
              </w:rPr>
              <w:t>整列卡：H745</w:t>
            </w:r>
          </w:p>
        </w:tc>
      </w:tr>
      <w:tr w14:paraId="5CB7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Merge w:val="continue"/>
            <w:vAlign w:val="center"/>
          </w:tcPr>
          <w:p w14:paraId="686B60C1">
            <w:pPr>
              <w:rPr>
                <w:rFonts w:hint="eastAsia" w:ascii="仿宋_GB2312" w:hAnsi="宋体" w:eastAsia="仿宋_GB2312" w:cs="宋体"/>
                <w:sz w:val="24"/>
                <w:szCs w:val="24"/>
              </w:rPr>
            </w:pPr>
          </w:p>
        </w:tc>
        <w:tc>
          <w:tcPr>
            <w:tcW w:w="894" w:type="pct"/>
            <w:vMerge w:val="continue"/>
            <w:vAlign w:val="center"/>
          </w:tcPr>
          <w:p w14:paraId="7A6BC57E">
            <w:pPr>
              <w:rPr>
                <w:rFonts w:hint="eastAsia" w:ascii="仿宋_GB2312" w:hAnsi="宋体" w:eastAsia="仿宋_GB2312" w:cs="宋体"/>
                <w:sz w:val="24"/>
                <w:szCs w:val="24"/>
              </w:rPr>
            </w:pPr>
          </w:p>
        </w:tc>
        <w:tc>
          <w:tcPr>
            <w:tcW w:w="3636" w:type="pct"/>
            <w:vAlign w:val="center"/>
          </w:tcPr>
          <w:p w14:paraId="13847CDF">
            <w:pPr>
              <w:rPr>
                <w:rFonts w:hint="eastAsia" w:ascii="仿宋_GB2312" w:hAnsi="宋体" w:eastAsia="仿宋_GB2312" w:cs="宋体"/>
                <w:sz w:val="24"/>
                <w:szCs w:val="24"/>
              </w:rPr>
            </w:pPr>
            <w:r>
              <w:rPr>
                <w:rFonts w:hint="eastAsia" w:ascii="仿宋_GB2312" w:hAnsi="宋体" w:eastAsia="仿宋_GB2312" w:cs="宋体"/>
                <w:sz w:val="24"/>
                <w:szCs w:val="24"/>
              </w:rPr>
              <w:t>网络：双口千兆，双口万兆(含模块)</w:t>
            </w:r>
          </w:p>
        </w:tc>
      </w:tr>
      <w:tr w14:paraId="2EB4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Merge w:val="continue"/>
            <w:vAlign w:val="center"/>
          </w:tcPr>
          <w:p w14:paraId="788CDE99">
            <w:pPr>
              <w:rPr>
                <w:rFonts w:hint="eastAsia" w:ascii="仿宋_GB2312" w:hAnsi="宋体" w:eastAsia="仿宋_GB2312" w:cs="宋体"/>
                <w:sz w:val="24"/>
                <w:szCs w:val="24"/>
              </w:rPr>
            </w:pPr>
          </w:p>
        </w:tc>
        <w:tc>
          <w:tcPr>
            <w:tcW w:w="894" w:type="pct"/>
            <w:vMerge w:val="continue"/>
            <w:vAlign w:val="center"/>
          </w:tcPr>
          <w:p w14:paraId="4F448F23">
            <w:pPr>
              <w:rPr>
                <w:rFonts w:hint="eastAsia" w:ascii="仿宋_GB2312" w:hAnsi="宋体" w:eastAsia="仿宋_GB2312" w:cs="宋体"/>
                <w:sz w:val="24"/>
                <w:szCs w:val="24"/>
              </w:rPr>
            </w:pPr>
          </w:p>
        </w:tc>
        <w:tc>
          <w:tcPr>
            <w:tcW w:w="3636" w:type="pct"/>
            <w:vAlign w:val="center"/>
          </w:tcPr>
          <w:p w14:paraId="14341FCA">
            <w:pPr>
              <w:rPr>
                <w:rFonts w:hint="eastAsia" w:ascii="仿宋_GB2312" w:hAnsi="宋体" w:eastAsia="仿宋_GB2312" w:cs="宋体"/>
                <w:sz w:val="24"/>
                <w:szCs w:val="24"/>
              </w:rPr>
            </w:pPr>
            <w:r>
              <w:rPr>
                <w:rFonts w:hint="eastAsia" w:ascii="仿宋_GB2312" w:hAnsi="宋体" w:eastAsia="仿宋_GB2312" w:cs="宋体"/>
                <w:sz w:val="24"/>
                <w:szCs w:val="24"/>
              </w:rPr>
              <w:t>电源：1300W*2</w:t>
            </w:r>
          </w:p>
        </w:tc>
      </w:tr>
      <w:tr w14:paraId="0E65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Merge w:val="continue"/>
            <w:vAlign w:val="center"/>
          </w:tcPr>
          <w:p w14:paraId="526F23D8">
            <w:pPr>
              <w:rPr>
                <w:rFonts w:hint="eastAsia" w:ascii="仿宋_GB2312" w:hAnsi="宋体" w:eastAsia="仿宋_GB2312" w:cs="宋体"/>
                <w:sz w:val="24"/>
                <w:szCs w:val="24"/>
              </w:rPr>
            </w:pPr>
          </w:p>
        </w:tc>
        <w:tc>
          <w:tcPr>
            <w:tcW w:w="894" w:type="pct"/>
            <w:vMerge w:val="continue"/>
            <w:vAlign w:val="center"/>
          </w:tcPr>
          <w:p w14:paraId="0CBEFC20">
            <w:pPr>
              <w:rPr>
                <w:rFonts w:hint="eastAsia" w:ascii="仿宋_GB2312" w:hAnsi="宋体" w:eastAsia="仿宋_GB2312" w:cs="宋体"/>
                <w:sz w:val="24"/>
                <w:szCs w:val="24"/>
              </w:rPr>
            </w:pPr>
          </w:p>
        </w:tc>
        <w:tc>
          <w:tcPr>
            <w:tcW w:w="3636" w:type="pct"/>
            <w:vAlign w:val="center"/>
          </w:tcPr>
          <w:p w14:paraId="15DB0542">
            <w:pPr>
              <w:widowControl/>
              <w:jc w:val="left"/>
              <w:rPr>
                <w:rFonts w:hint="eastAsia" w:ascii="仿宋_GB2312" w:hAnsi="宋体" w:eastAsia="仿宋_GB2312" w:cs="宋体"/>
                <w:sz w:val="24"/>
                <w:szCs w:val="24"/>
              </w:rPr>
            </w:pPr>
            <w:r>
              <w:rPr>
                <w:rFonts w:hint="eastAsia" w:ascii="仿宋_GB2312" w:hAnsi="宋体" w:eastAsia="仿宋_GB2312" w:cs="宋体"/>
                <w:color w:val="000000"/>
                <w:kern w:val="0"/>
                <w:sz w:val="24"/>
                <w:szCs w:val="24"/>
                <w:lang w:bidi="ar"/>
              </w:rPr>
              <w:t>并发虚拟机数量≥100</w:t>
            </w:r>
          </w:p>
        </w:tc>
      </w:tr>
      <w:tr w14:paraId="2389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1" w:type="pct"/>
            <w:vAlign w:val="center"/>
          </w:tcPr>
          <w:p w14:paraId="66F432D0">
            <w:pPr>
              <w:rPr>
                <w:rFonts w:hint="eastAsia" w:ascii="仿宋_GB2312" w:hAnsi="宋体" w:eastAsia="仿宋_GB2312" w:cs="宋体"/>
                <w:sz w:val="24"/>
                <w:szCs w:val="24"/>
              </w:rPr>
            </w:pPr>
            <w:r>
              <w:rPr>
                <w:rFonts w:hint="eastAsia" w:ascii="仿宋_GB2312" w:hAnsi="宋体" w:eastAsia="仿宋_GB2312" w:cs="宋体"/>
                <w:sz w:val="24"/>
                <w:szCs w:val="24"/>
              </w:rPr>
              <w:t>2</w:t>
            </w:r>
          </w:p>
        </w:tc>
        <w:tc>
          <w:tcPr>
            <w:tcW w:w="894" w:type="pct"/>
            <w:vAlign w:val="center"/>
          </w:tcPr>
          <w:p w14:paraId="0BCFF160">
            <w:pPr>
              <w:widowControl/>
              <w:jc w:val="left"/>
              <w:rPr>
                <w:rFonts w:hint="eastAsia" w:ascii="仿宋_GB2312" w:hAnsi="宋体" w:eastAsia="仿宋_GB2312" w:cs="宋体"/>
                <w:sz w:val="24"/>
                <w:szCs w:val="24"/>
              </w:rPr>
            </w:pPr>
            <w:r>
              <w:rPr>
                <w:rFonts w:hint="eastAsia" w:ascii="仿宋_GB2312" w:hAnsi="宋体" w:eastAsia="仿宋_GB2312" w:cs="宋体"/>
                <w:color w:val="000000"/>
                <w:kern w:val="0"/>
                <w:sz w:val="24"/>
                <w:szCs w:val="24"/>
                <w:lang w:bidi="ar"/>
              </w:rPr>
              <w:t>竞赛平台功能模块</w:t>
            </w:r>
          </w:p>
        </w:tc>
        <w:tc>
          <w:tcPr>
            <w:tcW w:w="3636" w:type="pct"/>
            <w:vAlign w:val="center"/>
          </w:tcPr>
          <w:p w14:paraId="436BB1BD">
            <w:pPr>
              <w:rPr>
                <w:rFonts w:hint="eastAsia" w:ascii="仿宋_GB2312" w:hAnsi="宋体" w:eastAsia="仿宋_GB2312" w:cs="宋体"/>
                <w:sz w:val="24"/>
                <w:szCs w:val="24"/>
              </w:rPr>
            </w:pPr>
            <w:r>
              <w:rPr>
                <w:rFonts w:hint="eastAsia" w:ascii="仿宋_GB2312" w:hAnsi="宋体" w:eastAsia="仿宋_GB2312" w:cs="宋体"/>
                <w:sz w:val="24"/>
                <w:szCs w:val="24"/>
              </w:rPr>
              <w:t>1. 多赛事并发与配置能力</w:t>
            </w:r>
          </w:p>
          <w:p w14:paraId="158E6C8A">
            <w:pPr>
              <w:rPr>
                <w:rFonts w:hint="eastAsia" w:ascii="仿宋_GB2312" w:hAnsi="宋体" w:eastAsia="仿宋_GB2312" w:cs="宋体"/>
                <w:sz w:val="24"/>
                <w:szCs w:val="24"/>
              </w:rPr>
            </w:pPr>
            <w:r>
              <w:rPr>
                <w:rFonts w:hint="eastAsia" w:ascii="仿宋_GB2312" w:hAnsi="宋体" w:eastAsia="仿宋_GB2312" w:cs="宋体"/>
                <w:sz w:val="24"/>
                <w:szCs w:val="24"/>
              </w:rPr>
              <w:t>本竞赛平台支持多场赛事的并发运行，具备资源隔离与独立调度能力。赛事基本信息可灵活配置，包括名称、时间、组别、赛制模式等关键参数，满足不同组织单位的办赛需求。平台支持理论考试、CTF、CFS、AWD、RDG、应急响应、安全运维等多种赛制，允许灵活组合，并可设置固定计分、动态计分、首血/次血加成等多样化计分机制，实现多维度考评目标。</w:t>
            </w:r>
          </w:p>
          <w:p w14:paraId="13E6AB8C">
            <w:pPr>
              <w:rPr>
                <w:rFonts w:hint="eastAsia" w:ascii="仿宋_GB2312" w:hAnsi="宋体" w:eastAsia="仿宋_GB2312" w:cs="宋体"/>
                <w:sz w:val="24"/>
                <w:szCs w:val="24"/>
              </w:rPr>
            </w:pPr>
            <w:r>
              <w:rPr>
                <w:rFonts w:hint="eastAsia" w:ascii="仿宋_GB2312" w:hAnsi="宋体" w:eastAsia="仿宋_GB2312" w:cs="宋体"/>
                <w:sz w:val="24"/>
                <w:szCs w:val="24"/>
              </w:rPr>
              <w:t>2. 展示界面与环境配置能力</w:t>
            </w:r>
          </w:p>
          <w:p w14:paraId="134FE34B">
            <w:pPr>
              <w:rPr>
                <w:rFonts w:hint="eastAsia" w:ascii="仿宋_GB2312" w:hAnsi="宋体" w:eastAsia="仿宋_GB2312" w:cs="宋体"/>
                <w:sz w:val="24"/>
                <w:szCs w:val="24"/>
              </w:rPr>
            </w:pPr>
            <w:r>
              <w:rPr>
                <w:rFonts w:hint="eastAsia" w:ascii="仿宋_GB2312" w:hAnsi="宋体" w:eastAsia="仿宋_GB2312" w:cs="宋体"/>
                <w:sz w:val="24"/>
                <w:szCs w:val="24"/>
              </w:rPr>
              <w:t>平台提供前台展示信息的自定义功能，支持设置名称字号、示例图、用户昵称保护策略、排行榜样式、背景风格、赛事公告等。系统集成作弊监控机制，可对参赛选手的动态Flag使用行为、IP绑定记录、可疑操作行为等进行分析，辅以处罚机制，确保赛事公平。题目环境的启动时长、自动释放时间均可灵活配置，管理员具备环境延时、重启、释放等操作权限，保障比赛流畅运行。</w:t>
            </w:r>
          </w:p>
          <w:p w14:paraId="7ACF6805">
            <w:pPr>
              <w:rPr>
                <w:rFonts w:hint="eastAsia" w:ascii="仿宋_GB2312" w:hAnsi="宋体" w:eastAsia="仿宋_GB2312" w:cs="宋体"/>
                <w:sz w:val="24"/>
                <w:szCs w:val="24"/>
              </w:rPr>
            </w:pPr>
            <w:r>
              <w:rPr>
                <w:rFonts w:hint="eastAsia" w:ascii="仿宋_GB2312" w:hAnsi="宋体" w:eastAsia="仿宋_GB2312" w:cs="宋体"/>
                <w:sz w:val="24"/>
                <w:szCs w:val="24"/>
              </w:rPr>
              <w:t>3. 赛事人员管理功能</w:t>
            </w:r>
          </w:p>
          <w:p w14:paraId="01D6755E">
            <w:pPr>
              <w:rPr>
                <w:rFonts w:hint="eastAsia" w:ascii="仿宋_GB2312" w:hAnsi="宋体" w:eastAsia="仿宋_GB2312" w:cs="宋体"/>
                <w:sz w:val="24"/>
                <w:szCs w:val="24"/>
              </w:rPr>
            </w:pPr>
            <w:r>
              <w:rPr>
                <w:rFonts w:hint="eastAsia" w:ascii="仿宋_GB2312" w:hAnsi="宋体" w:eastAsia="仿宋_GB2312" w:cs="宋体"/>
                <w:sz w:val="24"/>
                <w:szCs w:val="24"/>
              </w:rPr>
              <w:t>支持对参赛人员和观摩人员的独立管理，个人赛按用户单元管理，团队赛以队伍形式批量管理。管理员可进行人员添加、审核、批量移除、批量审核、一键导出等操作，同时支持从系统人员库中快速导入参赛人员。</w:t>
            </w:r>
          </w:p>
          <w:p w14:paraId="1B6139D8">
            <w:pPr>
              <w:rPr>
                <w:rFonts w:hint="eastAsia" w:ascii="仿宋_GB2312" w:hAnsi="宋体" w:eastAsia="仿宋_GB2312" w:cs="宋体"/>
                <w:sz w:val="24"/>
                <w:szCs w:val="24"/>
              </w:rPr>
            </w:pPr>
            <w:r>
              <w:rPr>
                <w:rFonts w:hint="eastAsia" w:ascii="仿宋_GB2312" w:hAnsi="宋体" w:eastAsia="仿宋_GB2312" w:cs="宋体"/>
                <w:sz w:val="24"/>
                <w:szCs w:val="24"/>
              </w:rPr>
              <w:t>4. 赛段配置机制</w:t>
            </w:r>
          </w:p>
          <w:p w14:paraId="7BF4CAC4">
            <w:pPr>
              <w:rPr>
                <w:rFonts w:hint="eastAsia" w:ascii="仿宋_GB2312" w:hAnsi="宋体" w:eastAsia="仿宋_GB2312" w:cs="宋体"/>
                <w:sz w:val="24"/>
                <w:szCs w:val="24"/>
              </w:rPr>
            </w:pPr>
            <w:r>
              <w:rPr>
                <w:rFonts w:hint="eastAsia" w:ascii="仿宋_GB2312" w:hAnsi="宋体" w:eastAsia="仿宋_GB2312" w:cs="宋体"/>
                <w:sz w:val="24"/>
                <w:szCs w:val="24"/>
              </w:rPr>
              <w:t>系统支持多赛段并发运行，并可对每个赛段单独配置时间与模式。理论考试支持固定时长与固定时间两种方式，题目顺序支持顺序与乱序出题。CTF赛段支持固定计分、动态计分、首血奖励等机制，AWD模式则可设置加固阶段及环境重置策略，以适配攻防对抗不同阶段的需求。</w:t>
            </w:r>
          </w:p>
          <w:p w14:paraId="7913B3FD">
            <w:pPr>
              <w:rPr>
                <w:rFonts w:hint="eastAsia" w:ascii="仿宋_GB2312" w:hAnsi="宋体" w:eastAsia="仿宋_GB2312" w:cs="宋体"/>
                <w:sz w:val="24"/>
                <w:szCs w:val="24"/>
              </w:rPr>
            </w:pPr>
            <w:r>
              <w:rPr>
                <w:rFonts w:hint="eastAsia" w:ascii="仿宋_GB2312" w:hAnsi="宋体" w:eastAsia="仿宋_GB2312" w:cs="宋体"/>
                <w:sz w:val="24"/>
                <w:szCs w:val="24"/>
              </w:rPr>
              <w:t>5. 题目管理系统</w:t>
            </w:r>
          </w:p>
          <w:p w14:paraId="03ECFB9B">
            <w:pPr>
              <w:rPr>
                <w:rFonts w:hint="eastAsia" w:ascii="仿宋_GB2312" w:hAnsi="宋体" w:eastAsia="仿宋_GB2312" w:cs="宋体"/>
                <w:sz w:val="24"/>
                <w:szCs w:val="24"/>
              </w:rPr>
            </w:pPr>
            <w:r>
              <w:rPr>
                <w:rFonts w:hint="eastAsia" w:ascii="仿宋_GB2312" w:hAnsi="宋体" w:eastAsia="仿宋_GB2312" w:cs="宋体"/>
                <w:sz w:val="24"/>
                <w:szCs w:val="24"/>
              </w:rPr>
              <w:t>平台支持题目的编辑、删除、导入、导出、上下线、分值调整、出题顺序设定等操作。支持多种题型，包括单选、多选、判断、填空、CTF、CFS、AI安全等题型，Flag形式支持静态、动态等方式，题目结构可为环境类、外链类、附件类。</w:t>
            </w:r>
          </w:p>
          <w:p w14:paraId="357D252D">
            <w:pPr>
              <w:rPr>
                <w:rFonts w:hint="eastAsia" w:ascii="仿宋_GB2312" w:hAnsi="宋体" w:eastAsia="仿宋_GB2312" w:cs="宋体"/>
                <w:sz w:val="24"/>
                <w:szCs w:val="24"/>
              </w:rPr>
            </w:pPr>
            <w:r>
              <w:rPr>
                <w:rFonts w:hint="eastAsia" w:ascii="仿宋_GB2312" w:hAnsi="宋体" w:eastAsia="仿宋_GB2312" w:cs="宋体"/>
                <w:sz w:val="24"/>
                <w:szCs w:val="24"/>
              </w:rPr>
              <w:t>6. 环境与资源管理</w:t>
            </w:r>
          </w:p>
          <w:p w14:paraId="1D080E36">
            <w:pPr>
              <w:rPr>
                <w:rFonts w:hint="eastAsia" w:ascii="仿宋_GB2312" w:hAnsi="宋体" w:eastAsia="仿宋_GB2312" w:cs="宋体"/>
                <w:sz w:val="24"/>
                <w:szCs w:val="24"/>
              </w:rPr>
            </w:pPr>
            <w:r>
              <w:rPr>
                <w:rFonts w:hint="eastAsia" w:ascii="仿宋_GB2312" w:hAnsi="宋体" w:eastAsia="仿宋_GB2312" w:cs="宋体"/>
                <w:sz w:val="24"/>
                <w:szCs w:val="24"/>
              </w:rPr>
              <w:t>竞赛平台支持基础计算环境、KVM虚拟环境以及AI模型数据安全仿真环境的统一管理。平台具备图形化拓扑结构展示能力，选手可通过拓扑图直接进入靶机环境进行操作。管理员可实时查看选手环境运行状态，支持对环境进行手动延时、强制重启与释放操作，提升赛事环境的动态管理能力。</w:t>
            </w:r>
          </w:p>
          <w:p w14:paraId="5915DF71">
            <w:pPr>
              <w:rPr>
                <w:rFonts w:hint="eastAsia" w:ascii="仿宋_GB2312" w:hAnsi="宋体" w:eastAsia="仿宋_GB2312" w:cs="宋体"/>
                <w:sz w:val="24"/>
                <w:szCs w:val="24"/>
              </w:rPr>
            </w:pPr>
            <w:r>
              <w:rPr>
                <w:rFonts w:hint="eastAsia" w:ascii="仿宋_GB2312" w:hAnsi="宋体" w:eastAsia="仿宋_GB2312" w:cs="宋体"/>
                <w:sz w:val="24"/>
                <w:szCs w:val="24"/>
              </w:rPr>
              <w:t>7. 赛事公告与动态发布</w:t>
            </w:r>
          </w:p>
          <w:p w14:paraId="3729EA3D">
            <w:pPr>
              <w:rPr>
                <w:rFonts w:hint="eastAsia" w:ascii="仿宋_GB2312" w:hAnsi="宋体" w:eastAsia="仿宋_GB2312" w:cs="宋体"/>
                <w:sz w:val="24"/>
                <w:szCs w:val="24"/>
              </w:rPr>
            </w:pPr>
            <w:r>
              <w:rPr>
                <w:rFonts w:hint="eastAsia" w:ascii="仿宋_GB2312" w:hAnsi="宋体" w:eastAsia="仿宋_GB2312" w:cs="宋体"/>
                <w:sz w:val="24"/>
                <w:szCs w:val="24"/>
              </w:rPr>
              <w:t>平台支持管理员在比赛过程中实时发布公告信息，包括比赛通知、题目变更、违规警告、新消息提示等内容。赛事动态可实时记录参赛人员答题进度、操作行为与成绩情况，支持动态信息的导出与历史记录管理，用于赛后分析与复盘。</w:t>
            </w:r>
          </w:p>
          <w:p w14:paraId="5E0BE71F">
            <w:pPr>
              <w:rPr>
                <w:rFonts w:hint="eastAsia" w:ascii="仿宋_GB2312" w:hAnsi="宋体" w:eastAsia="仿宋_GB2312" w:cs="宋体"/>
                <w:sz w:val="24"/>
                <w:szCs w:val="24"/>
              </w:rPr>
            </w:pPr>
            <w:r>
              <w:rPr>
                <w:rFonts w:hint="eastAsia" w:ascii="仿宋_GB2312" w:hAnsi="宋体" w:eastAsia="仿宋_GB2312" w:cs="宋体"/>
                <w:sz w:val="24"/>
                <w:szCs w:val="24"/>
              </w:rPr>
              <w:t>8. 日志记录与异常行为分析</w:t>
            </w:r>
          </w:p>
          <w:p w14:paraId="09AE7C9D">
            <w:pPr>
              <w:rPr>
                <w:rFonts w:hint="eastAsia" w:ascii="仿宋_GB2312" w:hAnsi="宋体" w:eastAsia="仿宋_GB2312" w:cs="宋体"/>
                <w:sz w:val="24"/>
                <w:szCs w:val="24"/>
              </w:rPr>
            </w:pPr>
            <w:r>
              <w:rPr>
                <w:rFonts w:hint="eastAsia" w:ascii="仿宋_GB2312" w:hAnsi="宋体" w:eastAsia="仿宋_GB2312" w:cs="宋体"/>
                <w:sz w:val="24"/>
                <w:szCs w:val="24"/>
              </w:rPr>
              <w:t>系统自动记录赛事过程中的日志数据，包括理论考试日志、CTF答题记录、AWD对抗日志、CFS操作日志等。异常分析模块支持对作弊行为进行监控和分析，记录动态Flag使用、IP绑定变化、登录行为等，可生成处罚信息、支持导出与清空相关记录，并将结果反馈至平台管理端。</w:t>
            </w:r>
          </w:p>
          <w:p w14:paraId="05EF392D">
            <w:pPr>
              <w:rPr>
                <w:rFonts w:hint="eastAsia" w:ascii="仿宋_GB2312" w:hAnsi="宋体" w:eastAsia="仿宋_GB2312" w:cs="宋体"/>
                <w:sz w:val="24"/>
                <w:szCs w:val="24"/>
              </w:rPr>
            </w:pPr>
            <w:r>
              <w:rPr>
                <w:rFonts w:hint="eastAsia" w:ascii="仿宋_GB2312" w:hAnsi="宋体" w:eastAsia="仿宋_GB2312" w:cs="宋体"/>
                <w:sz w:val="24"/>
                <w:szCs w:val="24"/>
              </w:rPr>
              <w:t>9. Writeup 提交与综合排行</w:t>
            </w:r>
          </w:p>
          <w:p w14:paraId="45713848">
            <w:pPr>
              <w:rPr>
                <w:rFonts w:hint="eastAsia" w:ascii="仿宋_GB2312" w:hAnsi="宋体" w:eastAsia="仿宋_GB2312" w:cs="宋体"/>
                <w:sz w:val="24"/>
                <w:szCs w:val="24"/>
              </w:rPr>
            </w:pPr>
            <w:r>
              <w:rPr>
                <w:rFonts w:hint="eastAsia" w:ascii="仿宋_GB2312" w:hAnsi="宋体" w:eastAsia="仿宋_GB2312" w:cs="宋体"/>
                <w:sz w:val="24"/>
                <w:szCs w:val="24"/>
              </w:rPr>
              <w:t>平台支持选手在比赛过程中提交 Writeup（解题过程与思路），管理员可对提交内容进行文件查看、审核或统一清空。系统统计所有赛段分数与排名数据，支持导出排行榜。平台支持个人的排名展示，并具备大屏可视化观摩功能，实时展示赛事战况、选手头像、答题进度等内容。</w:t>
            </w:r>
          </w:p>
        </w:tc>
      </w:tr>
    </w:tbl>
    <w:p w14:paraId="59D93011">
      <w:pPr>
        <w:pStyle w:val="3"/>
        <w:keepNext/>
        <w:keepLines/>
        <w:pageBreakBefore w:val="0"/>
        <w:widowControl w:val="0"/>
        <w:numPr>
          <w:ilvl w:val="0"/>
          <w:numId w:val="0"/>
        </w:numPr>
        <w:kinsoku/>
        <w:wordWrap/>
        <w:overflowPunct/>
        <w:topLinePunct w:val="0"/>
        <w:autoSpaceDE/>
        <w:autoSpaceDN/>
        <w:bidi w:val="0"/>
        <w:adjustRightInd/>
        <w:snapToGrid w:val="0"/>
        <w:spacing w:before="157" w:beforeLines="50" w:line="360" w:lineRule="auto"/>
        <w:ind w:left="0" w:firstLine="640" w:firstLineChars="200"/>
        <w:textAlignment w:val="auto"/>
        <w:rPr>
          <w:rFonts w:hint="eastAsia" w:ascii="楷体_GB2312" w:hAnsi="楷体_GB2312" w:eastAsia="楷体_GB2312" w:cs="楷体_GB2312"/>
          <w:b w:val="0"/>
          <w:bCs/>
          <w:sz w:val="32"/>
          <w:szCs w:val="32"/>
        </w:rPr>
      </w:pPr>
      <w:bookmarkStart w:id="18" w:name="_Toc752526620"/>
      <w:r>
        <w:rPr>
          <w:rFonts w:hint="eastAsia" w:ascii="楷体_GB2312" w:hAnsi="楷体_GB2312" w:eastAsia="楷体_GB2312" w:cs="楷体_GB2312"/>
          <w:b w:val="0"/>
          <w:bCs/>
          <w:sz w:val="32"/>
          <w:szCs w:val="32"/>
        </w:rPr>
        <w:t>4.2、竞赛平台页面（样式参考，以大赛实际平台为准）</w:t>
      </w:r>
      <w:bookmarkEnd w:id="18"/>
    </w:p>
    <w:p w14:paraId="7C15D4F6">
      <w:pPr>
        <w:widowControl/>
        <w:jc w:val="left"/>
        <w:rPr>
          <w:rFonts w:hint="eastAsia" w:ascii="宋体" w:hAnsi="宋体" w:eastAsia="宋体" w:cs="宋体"/>
          <w:b/>
          <w:bCs/>
          <w:color w:val="000000"/>
          <w:kern w:val="0"/>
          <w:sz w:val="30"/>
          <w:szCs w:val="30"/>
          <w:lang w:bidi="ar"/>
        </w:rPr>
      </w:pPr>
      <w:r>
        <w:drawing>
          <wp:inline distT="0" distB="0" distL="114300" distR="114300">
            <wp:extent cx="5267960" cy="2584450"/>
            <wp:effectExtent l="0" t="0" r="152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7960" cy="2584450"/>
                    </a:xfrm>
                    <a:prstGeom prst="rect">
                      <a:avLst/>
                    </a:prstGeom>
                    <a:noFill/>
                    <a:ln>
                      <a:noFill/>
                    </a:ln>
                  </pic:spPr>
                </pic:pic>
              </a:graphicData>
            </a:graphic>
          </wp:inline>
        </w:drawing>
      </w:r>
    </w:p>
    <w:p w14:paraId="6C97EAEF">
      <w:pPr>
        <w:widowControl/>
        <w:jc w:val="center"/>
        <w:rPr>
          <w:rFonts w:hint="eastAsia" w:ascii="黑体" w:hAnsi="黑体" w:eastAsia="黑体" w:cs="HYZhongHeiKW"/>
          <w:color w:val="000000"/>
          <w:kern w:val="0"/>
          <w:sz w:val="24"/>
          <w:lang w:bidi="ar"/>
        </w:rPr>
      </w:pPr>
      <w:r>
        <w:rPr>
          <w:rFonts w:ascii="黑体" w:hAnsi="黑体" w:eastAsia="黑体" w:cs="HYZhongHeiKW"/>
          <w:color w:val="000000"/>
          <w:kern w:val="0"/>
          <w:sz w:val="24"/>
          <w:szCs w:val="24"/>
          <w:lang w:bidi="ar"/>
        </w:rPr>
        <w:t xml:space="preserve">图 </w:t>
      </w:r>
      <w:r>
        <w:rPr>
          <w:rFonts w:ascii="黑体" w:hAnsi="黑体" w:eastAsia="黑体" w:cs="Times New Roman"/>
          <w:color w:val="000000"/>
          <w:kern w:val="0"/>
          <w:sz w:val="24"/>
          <w:szCs w:val="24"/>
          <w:lang w:bidi="ar"/>
        </w:rPr>
        <w:t>1</w:t>
      </w:r>
      <w:r>
        <w:rPr>
          <w:rFonts w:hint="eastAsia" w:ascii="黑体" w:hAnsi="黑体" w:eastAsia="黑体" w:cs="HYZhongHeiKW"/>
          <w:color w:val="000000"/>
          <w:kern w:val="0"/>
          <w:sz w:val="24"/>
          <w:szCs w:val="24"/>
          <w:lang w:bidi="ar"/>
        </w:rPr>
        <w:t>：竞赛平台登录页面</w:t>
      </w:r>
    </w:p>
    <w:p w14:paraId="1B1CBF8C">
      <w:pPr>
        <w:widowControl/>
        <w:jc w:val="left"/>
        <w:rPr>
          <w:rFonts w:hint="eastAsia" w:ascii="HYZhongHeiKW" w:hAnsi="HYZhongHeiKW" w:eastAsia="HYZhongHeiKW" w:cs="HYZhongHeiKW"/>
          <w:color w:val="000000"/>
          <w:kern w:val="0"/>
          <w:sz w:val="24"/>
          <w:lang w:bidi="ar"/>
        </w:rPr>
      </w:pPr>
      <w:r>
        <w:drawing>
          <wp:inline distT="0" distB="0" distL="114300" distR="114300">
            <wp:extent cx="5270500" cy="2612390"/>
            <wp:effectExtent l="0" t="0" r="254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70500" cy="2612390"/>
                    </a:xfrm>
                    <a:prstGeom prst="rect">
                      <a:avLst/>
                    </a:prstGeom>
                    <a:noFill/>
                    <a:ln>
                      <a:noFill/>
                    </a:ln>
                  </pic:spPr>
                </pic:pic>
              </a:graphicData>
            </a:graphic>
          </wp:inline>
        </w:drawing>
      </w:r>
    </w:p>
    <w:p w14:paraId="38ED26EA">
      <w:pPr>
        <w:widowControl/>
        <w:jc w:val="center"/>
        <w:rPr>
          <w:rFonts w:hint="eastAsia" w:ascii="黑体" w:hAnsi="黑体" w:eastAsia="黑体" w:cs="HYZhongHeiKW"/>
          <w:color w:val="000000"/>
          <w:kern w:val="0"/>
          <w:sz w:val="24"/>
          <w:szCs w:val="24"/>
          <w:lang w:bidi="ar"/>
        </w:rPr>
      </w:pPr>
      <w:r>
        <w:rPr>
          <w:rFonts w:ascii="黑体" w:hAnsi="黑体" w:eastAsia="黑体" w:cs="HYZhongHeiKW"/>
          <w:color w:val="000000"/>
          <w:kern w:val="0"/>
          <w:sz w:val="24"/>
          <w:szCs w:val="24"/>
          <w:lang w:bidi="ar"/>
        </w:rPr>
        <w:t>图 2</w:t>
      </w:r>
      <w:r>
        <w:rPr>
          <w:rFonts w:hint="eastAsia" w:ascii="黑体" w:hAnsi="黑体" w:eastAsia="黑体" w:cs="HYZhongHeiKW"/>
          <w:color w:val="000000"/>
          <w:kern w:val="0"/>
          <w:sz w:val="24"/>
          <w:szCs w:val="24"/>
          <w:lang w:bidi="ar"/>
        </w:rPr>
        <w:t>：数据安全夺旗赛答题页面</w:t>
      </w:r>
    </w:p>
    <w:p w14:paraId="7CFABCAA">
      <w:pPr>
        <w:widowControl/>
        <w:jc w:val="left"/>
        <w:rPr>
          <w:rFonts w:hint="eastAsia" w:ascii="HYZhongHeiKW" w:hAnsi="HYZhongHeiKW" w:eastAsia="HYZhongHeiKW" w:cs="HYZhongHeiKW"/>
          <w:color w:val="000000"/>
          <w:kern w:val="0"/>
          <w:sz w:val="24"/>
          <w:lang w:bidi="ar"/>
        </w:rPr>
      </w:pPr>
    </w:p>
    <w:p w14:paraId="3A24C7E9">
      <w:pPr>
        <w:widowControl/>
        <w:jc w:val="center"/>
        <w:rPr>
          <w:rFonts w:hint="eastAsia" w:ascii="宋体" w:hAnsi="宋体" w:eastAsia="宋体" w:cs="宋体"/>
          <w:b/>
          <w:bCs/>
          <w:color w:val="000000"/>
          <w:kern w:val="0"/>
          <w:sz w:val="30"/>
          <w:szCs w:val="30"/>
          <w:lang w:bidi="ar"/>
        </w:rPr>
      </w:pPr>
      <w:r>
        <w:drawing>
          <wp:inline distT="0" distB="0" distL="114300" distR="114300">
            <wp:extent cx="5273040" cy="2583180"/>
            <wp:effectExtent l="0" t="0" r="1016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73040" cy="2583180"/>
                    </a:xfrm>
                    <a:prstGeom prst="rect">
                      <a:avLst/>
                    </a:prstGeom>
                    <a:noFill/>
                    <a:ln>
                      <a:noFill/>
                    </a:ln>
                  </pic:spPr>
                </pic:pic>
              </a:graphicData>
            </a:graphic>
          </wp:inline>
        </w:drawing>
      </w:r>
      <w:r>
        <w:rPr>
          <w:rFonts w:ascii="黑体" w:hAnsi="黑体" w:eastAsia="黑体" w:cs="HYZhongHeiKW"/>
          <w:color w:val="000000"/>
          <w:kern w:val="0"/>
          <w:sz w:val="24"/>
          <w:szCs w:val="24"/>
          <w:lang w:bidi="ar"/>
        </w:rPr>
        <w:t xml:space="preserve">图 </w:t>
      </w:r>
      <w:r>
        <w:rPr>
          <w:rFonts w:hint="eastAsia" w:ascii="黑体" w:hAnsi="黑体" w:eastAsia="黑体" w:cs="HYZhongHeiKW"/>
          <w:color w:val="000000"/>
          <w:kern w:val="0"/>
          <w:sz w:val="24"/>
          <w:szCs w:val="24"/>
          <w:lang w:bidi="ar"/>
        </w:rPr>
        <w:t>3：数据安全综合场景赛答题页面</w:t>
      </w:r>
    </w:p>
    <w:p w14:paraId="3015FCC1">
      <w:pPr>
        <w:pStyle w:val="3"/>
        <w:keepNext/>
        <w:keepLines/>
        <w:pageBreakBefore w:val="0"/>
        <w:widowControl w:val="0"/>
        <w:numPr>
          <w:ilvl w:val="0"/>
          <w:numId w:val="0"/>
        </w:numPr>
        <w:kinsoku/>
        <w:wordWrap/>
        <w:overflowPunct/>
        <w:topLinePunct w:val="0"/>
        <w:autoSpaceDE/>
        <w:autoSpaceDN/>
        <w:bidi w:val="0"/>
        <w:adjustRightInd/>
        <w:snapToGrid w:val="0"/>
        <w:spacing w:before="157" w:beforeLines="50" w:line="360" w:lineRule="auto"/>
        <w:ind w:left="0" w:firstLine="640" w:firstLineChars="200"/>
        <w:textAlignment w:val="auto"/>
        <w:rPr>
          <w:rFonts w:hint="eastAsia" w:ascii="楷体_GB2312" w:hAnsi="楷体_GB2312" w:eastAsia="楷体_GB2312" w:cs="楷体_GB2312"/>
          <w:b w:val="0"/>
          <w:bCs/>
          <w:sz w:val="32"/>
          <w:szCs w:val="32"/>
        </w:rPr>
      </w:pPr>
      <w:bookmarkStart w:id="19" w:name="_Toc1783947538"/>
      <w:r>
        <w:rPr>
          <w:rFonts w:hint="eastAsia" w:ascii="楷体_GB2312" w:hAnsi="楷体_GB2312" w:eastAsia="楷体_GB2312" w:cs="楷体_GB2312"/>
          <w:b w:val="0"/>
          <w:bCs/>
          <w:sz w:val="32"/>
          <w:szCs w:val="32"/>
        </w:rPr>
        <w:t>4.3、竞赛场地要求</w:t>
      </w:r>
      <w:bookmarkEnd w:id="19"/>
    </w:p>
    <w:p w14:paraId="55770A2E">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（一）面积不小于400平方米的场地，分为竞赛场地、大屏展示、数据中心、裁判室、储物间、观摩等区域。</w:t>
      </w:r>
    </w:p>
    <w:p w14:paraId="52CE6CD6">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（二）竞赛区域搭建有线局域网，个人赛设置150个工位（含备用工位），工位间距不低于1.8米，每个工位桌接入电源和网线；现场电源功率不低于30kW，尽量双路电源，且配备UPS。</w:t>
      </w:r>
    </w:p>
    <w:p w14:paraId="54323DAF">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（三）2台信号屏蔽器，能够屏蔽竞赛现场4G、5G等信号源。</w:t>
      </w:r>
    </w:p>
    <w:p w14:paraId="26754AA7">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（四）2台高性能硬件服务器，2台算力服务器，1台赛事展示大屏电脑，1个成绩展示大屏。</w:t>
      </w:r>
    </w:p>
    <w:p w14:paraId="12D3D554">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（五）竞赛场地照明应充足、柔和，赛场需留有安全通道，并设置显著标识;配备灭火设备，备有通风设备，保证空气流通和清洁。</w:t>
      </w:r>
    </w:p>
    <w:p w14:paraId="35EA02A7">
      <w:pPr>
        <w:pStyle w:val="2"/>
        <w:pageBreakBefore w:val="0"/>
        <w:kinsoku/>
        <w:wordWrap/>
        <w:overflowPunct/>
        <w:topLinePunct w:val="0"/>
        <w:autoSpaceDE/>
        <w:autoSpaceDN/>
        <w:bidi w:val="0"/>
        <w:adjustRightInd/>
        <w:snapToGrid w:val="0"/>
        <w:spacing w:line="360" w:lineRule="auto"/>
        <w:ind w:left="0" w:firstLine="643"/>
        <w:textAlignment w:val="auto"/>
        <w:rPr>
          <w:rFonts w:hint="eastAsia"/>
          <w:b w:val="0"/>
          <w:bCs/>
          <w:color w:val="auto"/>
        </w:rPr>
      </w:pPr>
      <w:bookmarkStart w:id="20" w:name="_Toc552460257"/>
      <w:r>
        <w:rPr>
          <w:rFonts w:hint="eastAsia"/>
          <w:b w:val="0"/>
          <w:bCs/>
          <w:color w:val="auto"/>
        </w:rPr>
        <w:t>注意事项</w:t>
      </w:r>
      <w:bookmarkEnd w:id="20"/>
    </w:p>
    <w:p w14:paraId="38FBE9EF">
      <w:pPr>
        <w:pStyle w:val="3"/>
        <w:keepNext/>
        <w:keepLines/>
        <w:pageBreakBefore w:val="0"/>
        <w:widowControl w:val="0"/>
        <w:numPr>
          <w:ilvl w:val="0"/>
          <w:numId w:val="0"/>
        </w:numPr>
        <w:kinsoku/>
        <w:wordWrap/>
        <w:overflowPunct/>
        <w:topLinePunct w:val="0"/>
        <w:autoSpaceDE/>
        <w:autoSpaceDN/>
        <w:bidi w:val="0"/>
        <w:adjustRightInd/>
        <w:snapToGrid w:val="0"/>
        <w:spacing w:line="360" w:lineRule="auto"/>
        <w:ind w:left="0" w:firstLine="640" w:firstLineChars="200"/>
        <w:textAlignment w:val="auto"/>
        <w:rPr>
          <w:rFonts w:hint="eastAsia" w:ascii="楷体_GB2312" w:hAnsi="楷体_GB2312" w:eastAsia="楷体_GB2312" w:cs="楷体_GB2312"/>
          <w:b w:val="0"/>
          <w:bCs/>
          <w:sz w:val="32"/>
          <w:szCs w:val="32"/>
        </w:rPr>
      </w:pPr>
      <w:bookmarkStart w:id="21" w:name="_Toc2113611113"/>
      <w:r>
        <w:rPr>
          <w:rFonts w:hint="eastAsia" w:ascii="楷体_GB2312" w:hAnsi="楷体_GB2312" w:eastAsia="楷体_GB2312" w:cs="楷体_GB2312"/>
          <w:b w:val="0"/>
          <w:bCs/>
          <w:sz w:val="32"/>
          <w:szCs w:val="32"/>
        </w:rPr>
        <w:t>5.1初赛注意事项</w:t>
      </w:r>
      <w:bookmarkEnd w:id="21"/>
    </w:p>
    <w:p w14:paraId="2D669E41">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严禁任何作弊行为，一经发现立即取消参赛资格。</w:t>
      </w:r>
    </w:p>
    <w:p w14:paraId="0BA18B7D">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在比赛过程中，参赛选手严禁向比赛服务器、其他参赛选手个人电脑等设备发起任何可能影响比赛的攻击行为，一经发现立即取消参赛资格。</w:t>
      </w:r>
    </w:p>
    <w:p w14:paraId="513BA174">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比赛结束后4小时内，各参赛队伍需在竞赛平台完成writeup提交，过期视为放弃比赛成绩。</w:t>
      </w:r>
    </w:p>
    <w:p w14:paraId="71976781">
      <w:pPr>
        <w:pStyle w:val="3"/>
        <w:keepNext/>
        <w:keepLines/>
        <w:pageBreakBefore w:val="0"/>
        <w:widowControl w:val="0"/>
        <w:numPr>
          <w:ilvl w:val="0"/>
          <w:numId w:val="0"/>
        </w:numPr>
        <w:kinsoku/>
        <w:wordWrap/>
        <w:overflowPunct/>
        <w:topLinePunct w:val="0"/>
        <w:autoSpaceDE/>
        <w:autoSpaceDN/>
        <w:bidi w:val="0"/>
        <w:adjustRightInd/>
        <w:snapToGrid w:val="0"/>
        <w:spacing w:line="360" w:lineRule="auto"/>
        <w:ind w:left="0" w:firstLine="640" w:firstLineChars="200"/>
        <w:textAlignment w:val="auto"/>
        <w:rPr>
          <w:rFonts w:hint="eastAsia" w:ascii="楷体_GB2312" w:hAnsi="楷体_GB2312" w:eastAsia="楷体_GB2312" w:cs="楷体_GB2312"/>
          <w:b w:val="0"/>
          <w:bCs/>
          <w:sz w:val="32"/>
          <w:szCs w:val="32"/>
        </w:rPr>
      </w:pPr>
      <w:bookmarkStart w:id="22" w:name="_Toc562685200"/>
      <w:r>
        <w:rPr>
          <w:rFonts w:hint="eastAsia" w:ascii="楷体_GB2312" w:hAnsi="楷体_GB2312" w:eastAsia="楷体_GB2312" w:cs="楷体_GB2312"/>
          <w:b w:val="0"/>
          <w:bCs/>
          <w:sz w:val="32"/>
          <w:szCs w:val="32"/>
        </w:rPr>
        <w:t>5.2决赛注意事项</w:t>
      </w:r>
      <w:bookmarkEnd w:id="22"/>
    </w:p>
    <w:p w14:paraId="19D07A29">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参赛选手凭本人身份证签到后进入赛场，对号入座，不得擅自更换座位。</w:t>
      </w:r>
    </w:p>
    <w:p w14:paraId="75F8B9E8">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参赛选手须提前30分钟入场，测试网络连通性及竞赛系统账号和口令，迟到超过30分钟禁止入场，并按弃权处理，已检录入场的参赛选手未经允许，不得擅自离开赛场。</w:t>
      </w:r>
    </w:p>
    <w:p w14:paraId="020918A6">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比赛时，参赛选手严禁携带手机等与比赛无关的具有通信功能电子设备（包括但不限于智能手表、手环、蓝牙耳机、智能眼镜等）等物品进入赛场，禁止携带网络安全类硬件设备进入赛场等互联网通讯设备带入比赛场地。</w:t>
      </w:r>
    </w:p>
    <w:p w14:paraId="78D2F7B6">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参赛选手须自带稳定可用的笔记本电脑参加竞赛，并自行配置有线网口和有线鼠标，自行准备工具和软件。若出现因自带电脑原因无法连接竞赛系统的情况，责任自负。</w:t>
      </w:r>
    </w:p>
    <w:p w14:paraId="3ADBECC8">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比赛过程中，参赛选手严禁向比赛服务器、其他参赛选手个人电脑等设备发起任何可能影响比赛的攻击行为。</w:t>
      </w:r>
    </w:p>
    <w:p w14:paraId="2E45F9B8">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比赛过程中，场地内将开启信号屏蔽器等设备，屏蔽现场的手机信号和WLAN等。</w:t>
      </w:r>
    </w:p>
    <w:p w14:paraId="0B012C8C">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比赛过程中，参赛选手若遇技术故障，应举手询问现场监考人员。</w:t>
      </w:r>
    </w:p>
    <w:p w14:paraId="22A4724F">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比赛过程中，参赛选手请遵守工作人员指示，尊重裁判裁决。</w:t>
      </w:r>
    </w:p>
    <w:p w14:paraId="477969AB">
      <w:pPr>
        <w:pStyle w:val="41"/>
        <w:keepNext w:val="0"/>
        <w:keepLines w:val="0"/>
        <w:pageBreakBefore w:val="0"/>
        <w:widowControl w:val="0"/>
        <w:numPr>
          <w:ilvl w:val="0"/>
          <w:numId w:val="3"/>
        </w:numPr>
        <w:kinsoku/>
        <w:wordWrap/>
        <w:overflowPunct/>
        <w:topLinePunct w:val="0"/>
        <w:autoSpaceDE/>
        <w:autoSpaceDN/>
        <w:bidi w:val="0"/>
        <w:adjustRightInd/>
        <w:snapToGrid w:val="0"/>
        <w:spacing w:line="360" w:lineRule="auto"/>
        <w:ind w:left="0" w:firstLine="640" w:firstLineChars="200"/>
        <w:contextualSpacing w:val="0"/>
        <w:textAlignment w:val="auto"/>
        <w:rPr>
          <w:rFonts w:hint="eastAsia" w:ascii="仿宋_GB2312" w:hAnsi="仿宋" w:eastAsia="仿宋_GB2312"/>
          <w:sz w:val="32"/>
          <w:szCs w:val="32"/>
        </w:rPr>
      </w:pPr>
      <w:r>
        <w:rPr>
          <w:rFonts w:hint="eastAsia" w:ascii="仿宋_GB2312" w:hAnsi="仿宋" w:eastAsia="仿宋_GB2312"/>
          <w:sz w:val="32"/>
          <w:szCs w:val="32"/>
        </w:rPr>
        <w:t>当裁判宣布比赛结束时，所有参赛选手应立即停止所有操作。</w:t>
      </w:r>
    </w:p>
    <w:p w14:paraId="29BED6E2">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一经发现参赛选手出现违反竞赛纪律的行为，组委会视情节轻重给予警告、扣分公开警告、终止比赛资格并通报所在单位、列入本大赛黑名单等处罚。</w:t>
      </w:r>
      <w:r>
        <w:rPr>
          <w:rFonts w:hint="eastAsia" w:ascii="仿宋_GB2312" w:hAnsi="仿宋" w:eastAsia="仿宋_GB2312"/>
          <w:sz w:val="32"/>
          <w:szCs w:val="32"/>
        </w:rPr>
        <w:br w:type="page"/>
      </w:r>
    </w:p>
    <w:p w14:paraId="089D03BC">
      <w:pPr>
        <w:pStyle w:val="2"/>
        <w:keepNext/>
        <w:keepLines/>
        <w:pageBreakBefore w:val="0"/>
        <w:widowControl w:val="0"/>
        <w:numPr>
          <w:ilvl w:val="0"/>
          <w:numId w:val="0"/>
        </w:numPr>
        <w:kinsoku/>
        <w:wordWrap/>
        <w:overflowPunct/>
        <w:topLinePunct w:val="0"/>
        <w:autoSpaceDE/>
        <w:autoSpaceDN/>
        <w:bidi w:val="0"/>
        <w:adjustRightInd/>
        <w:snapToGrid w:val="0"/>
        <w:textAlignment w:val="auto"/>
        <w:rPr>
          <w:rFonts w:hint="eastAsia"/>
          <w:b w:val="0"/>
          <w:bCs/>
          <w:color w:val="auto"/>
        </w:rPr>
      </w:pPr>
      <w:bookmarkStart w:id="23" w:name="_Toc394077044"/>
      <w:r>
        <w:rPr>
          <w:rFonts w:hint="eastAsia"/>
          <w:b w:val="0"/>
          <w:bCs/>
          <w:color w:val="auto"/>
        </w:rPr>
        <w:t>附件一</w:t>
      </w:r>
      <w:r>
        <w:rPr>
          <w:rFonts w:hint="eastAsia"/>
          <w:b w:val="0"/>
          <w:bCs/>
          <w:color w:val="auto"/>
          <w:lang w:eastAsia="zh-CN"/>
        </w:rPr>
        <w:t>：</w:t>
      </w:r>
      <w:r>
        <w:rPr>
          <w:rFonts w:hint="eastAsia"/>
          <w:b w:val="0"/>
          <w:bCs/>
          <w:color w:val="auto"/>
        </w:rPr>
        <w:t>赛题大纲</w:t>
      </w:r>
      <w:bookmarkEnd w:id="23"/>
    </w:p>
    <w:p w14:paraId="558B20BC">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法律法规：了解相关网络安全防护范围、管理主体、责任主体、同步要求、分级备案要求、符合性评测要求、风险评估要求、应急演练要求等内容。</w:t>
      </w:r>
    </w:p>
    <w:p w14:paraId="5573A5E9">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政策文件：了解电信网络安全防护工作总体思路、基本原则、主要任务、实施及监督检查要求、安全服务机构管理等政策文件；了解电信网络等级保护工作的目的、原则、意义、要求、思路、实施内容、流程等政策内容；熟悉电信网络等级保护定级范围、评审要求、备案等政策要求，熟知电信网络单元安全防护定级方法、定级对象命名规则、定级报告内容、定级备案相关信息等。深入了解运营商行业信息安全管理体系认证相关工作的目的、意义以及要求。</w:t>
      </w:r>
    </w:p>
    <w:p w14:paraId="50B0BEC6">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网络安全防护相关标准：了解安全防护定义、目标、基本原则、体系及各部分工作内容等内容。熟悉安全等级划分、定级对象划分、定级方法及要素、等级保护原则和实施过程等相关标准；了解安全风险评估要素及关系、工作形式、遵循原则、实施流程、在不同生命周期中的要求和实施要点等标准；了解灾难备份等级划分、灾难备份原则、灾难备份资源要素、实施过程、灾难恢复预案要求等防护标准。</w:t>
      </w:r>
    </w:p>
    <w:p w14:paraId="279397AF">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数据安全：熟练使用加密技术进行数据加密，掌握数据脱敏能力，精准的数据访问权限控制能力，了解数据泄漏保护策略，了解分布式存储技术。熟练掌握数据备份与恢复技术。</w:t>
      </w:r>
    </w:p>
    <w:p w14:paraId="642EE1AC">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操作系统安全检测与防护：了解操作系统（Windows、Linux、Unix 等）的常规安全防护技术；能熟练利用系统日志、应用程序日志等溯源攻击途径；掌握系统账号、文件系统、网络参数、服务、日志审计等项目的安全检测与安全加固方法。</w:t>
      </w:r>
    </w:p>
    <w:p w14:paraId="75948029">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数据库安全检测与防护：了解数据库（Mssql、Mysql、Oracle、MongoDB）的库表管理、权限控制等数据库管理方式；熟悉数据库入侵防御、访问身份认证、数据加密等其他安全措施；深入了解数据库的客户端程序管理、应用系统访问、客户端访问控制、重要操作审计以及数据备份。</w:t>
      </w:r>
    </w:p>
    <w:p w14:paraId="5D05AEB0">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网络攻击与防护：熟悉网络层攻击原理及防护方法，能运用相关工具及技术手段发现并阻断网络层攻击、验证无线网络 WEP、WPA 和 WPA2 的密码强度。</w:t>
      </w:r>
    </w:p>
    <w:p w14:paraId="3E0B7147">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Web 应用安全：了解常见 Web 环境（ASPX、PHP、JSP）的搭建方法以及安全配置方法；熟悉中间件和 Web 应用的安全检测与防护方法。</w:t>
      </w:r>
    </w:p>
    <w:p w14:paraId="58057461">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渗透测试技术：掌握常规的渗透测试技术；熟悉使用各种常见渗透测试工具。</w:t>
      </w:r>
    </w:p>
    <w:p w14:paraId="644E80EE">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应急响应与数据恢复：掌握应急响应和数据恢复的流程和相关技术，包括：入侵取证分析、反取证技术、日志审计分析、日志删除恢复、文件删除恢复、硬盘格式化数据恢复等。</w:t>
      </w:r>
    </w:p>
    <w:p w14:paraId="32B5268B">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开发安全：了解常见编程环境（C、JAVA、PHP、JSP）的构建以及语言的编写；熟悉缓冲区溢出、拒绝服务等编码防御技术；掌握代码审计和代码加固技术，避免出现常见安全漏洞。</w:t>
      </w:r>
    </w:p>
    <w:p w14:paraId="6A94748A">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恶意代码与逆向：熟悉操作系统中恶意代码的识别方法及防护措施，能运用相关工具及技术手段发现、隔离、清除常见恶意代码。</w:t>
      </w:r>
    </w:p>
    <w:p w14:paraId="5C47CE5D">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移动应用安全：了解移动智能终端操作系统、移动应用软件的常规安全漏洞检测和防护技术；熟悉移动互联网恶意程序相关监测与处置机制；掌握移动应用的逆向分析和代码审计技术、移动应用的安全防护方法等。</w:t>
      </w:r>
    </w:p>
    <w:p w14:paraId="0AA4E757">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 w:eastAsia="仿宋_GB2312" w:cs="宋体"/>
          <w:kern w:val="0"/>
          <w:sz w:val="32"/>
          <w:szCs w:val="32"/>
        </w:rPr>
      </w:pPr>
      <w:r>
        <w:rPr>
          <w:rFonts w:hint="eastAsia" w:ascii="仿宋_GB2312" w:hAnsi="仿宋" w:eastAsia="仿宋_GB2312" w:cs="宋体"/>
          <w:kern w:val="0"/>
          <w:sz w:val="32"/>
          <w:szCs w:val="32"/>
        </w:rPr>
        <w:t>新技术应用：了解云计算与大数据的基本概念及特征；熟悉云计算和大数据技术带来的安全问题；掌握如何使用大数据分析安全事件以及大数据平台本身安全漏洞和隐患的发现。</w:t>
      </w:r>
      <w:r>
        <w:rPr>
          <w:rFonts w:hint="eastAsia" w:ascii="仿宋_GB2312" w:hAnsi="仿宋" w:eastAsia="仿宋_GB2312" w:cs="宋体"/>
          <w:kern w:val="0"/>
          <w:sz w:val="32"/>
          <w:szCs w:val="32"/>
        </w:rPr>
        <w:br w:type="page"/>
      </w:r>
    </w:p>
    <w:p w14:paraId="51A41F9D">
      <w:pPr>
        <w:pStyle w:val="2"/>
        <w:keepNext/>
        <w:keepLines/>
        <w:pageBreakBefore w:val="0"/>
        <w:widowControl w:val="0"/>
        <w:numPr>
          <w:ilvl w:val="0"/>
          <w:numId w:val="0"/>
        </w:numPr>
        <w:kinsoku/>
        <w:wordWrap/>
        <w:overflowPunct/>
        <w:topLinePunct w:val="0"/>
        <w:autoSpaceDE/>
        <w:autoSpaceDN/>
        <w:bidi w:val="0"/>
        <w:adjustRightInd/>
        <w:snapToGrid w:val="0"/>
        <w:textAlignment w:val="auto"/>
        <w:rPr>
          <w:rFonts w:hint="eastAsia"/>
          <w:b w:val="0"/>
          <w:bCs/>
          <w:color w:val="auto"/>
        </w:rPr>
      </w:pPr>
      <w:bookmarkStart w:id="24" w:name="_Toc1930933096"/>
      <w:r>
        <w:rPr>
          <w:rFonts w:hint="eastAsia"/>
          <w:b w:val="0"/>
          <w:bCs/>
          <w:color w:val="auto"/>
        </w:rPr>
        <w:t>附件二</w:t>
      </w:r>
      <w:r>
        <w:rPr>
          <w:rFonts w:hint="eastAsia"/>
          <w:b w:val="0"/>
          <w:bCs/>
          <w:color w:val="auto"/>
          <w:lang w:eastAsia="zh-CN"/>
        </w:rPr>
        <w:t>：</w:t>
      </w:r>
      <w:r>
        <w:rPr>
          <w:rFonts w:hint="eastAsia"/>
          <w:b w:val="0"/>
          <w:bCs/>
          <w:color w:val="auto"/>
        </w:rPr>
        <w:t>参赛选手工具清单</w:t>
      </w:r>
      <w:bookmarkEnd w:id="24"/>
    </w:p>
    <w:p w14:paraId="209DF0CB">
      <w:pPr>
        <w:pStyle w:val="41"/>
        <w:keepNext w:val="0"/>
        <w:keepLines w:val="0"/>
        <w:pageBreakBefore w:val="0"/>
        <w:widowControl w:val="0"/>
        <w:kinsoku/>
        <w:wordWrap/>
        <w:overflowPunct/>
        <w:topLinePunct w:val="0"/>
        <w:autoSpaceDE/>
        <w:autoSpaceDN/>
        <w:bidi w:val="0"/>
        <w:adjustRightInd/>
        <w:snapToGrid w:val="0"/>
        <w:spacing w:line="360" w:lineRule="auto"/>
        <w:ind w:left="0" w:firstLine="640" w:firstLineChars="200"/>
        <w:textAlignment w:val="auto"/>
        <w:rPr>
          <w:rFonts w:hint="eastAsia" w:ascii="仿宋" w:hAnsi="仿宋" w:eastAsia="仿宋"/>
          <w:sz w:val="32"/>
          <w:szCs w:val="32"/>
        </w:rPr>
      </w:pPr>
      <w:r>
        <w:rPr>
          <w:rFonts w:hint="eastAsia" w:ascii="仿宋" w:hAnsi="仿宋" w:eastAsia="仿宋"/>
          <w:sz w:val="32"/>
          <w:szCs w:val="32"/>
        </w:rPr>
        <w:t>选手自带工具清单表如下：</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2183"/>
        <w:gridCol w:w="1019"/>
        <w:gridCol w:w="4451"/>
      </w:tblGrid>
      <w:tr w14:paraId="6C66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10" w:type="pct"/>
            <w:vAlign w:val="center"/>
          </w:tcPr>
          <w:p w14:paraId="662B6254">
            <w:pPr>
              <w:jc w:val="center"/>
              <w:rPr>
                <w:rFonts w:hint="eastAsia" w:ascii="仿宋" w:hAnsi="仿宋" w:eastAsia="仿宋"/>
                <w:sz w:val="28"/>
                <w:szCs w:val="28"/>
              </w:rPr>
            </w:pPr>
            <w:r>
              <w:rPr>
                <w:rFonts w:hint="eastAsia" w:ascii="仿宋" w:hAnsi="仿宋" w:eastAsia="仿宋"/>
                <w:sz w:val="28"/>
                <w:szCs w:val="28"/>
              </w:rPr>
              <w:t>序号</w:t>
            </w:r>
          </w:p>
        </w:tc>
        <w:tc>
          <w:tcPr>
            <w:tcW w:w="1281" w:type="pct"/>
            <w:vAlign w:val="center"/>
          </w:tcPr>
          <w:p w14:paraId="29680E67">
            <w:pPr>
              <w:jc w:val="center"/>
              <w:rPr>
                <w:rFonts w:hint="eastAsia" w:ascii="仿宋" w:hAnsi="仿宋" w:eastAsia="仿宋"/>
                <w:sz w:val="28"/>
                <w:szCs w:val="28"/>
              </w:rPr>
            </w:pPr>
            <w:r>
              <w:rPr>
                <w:rFonts w:hint="eastAsia" w:ascii="仿宋" w:hAnsi="仿宋" w:eastAsia="仿宋"/>
                <w:sz w:val="28"/>
                <w:szCs w:val="28"/>
              </w:rPr>
              <w:t>名称</w:t>
            </w:r>
          </w:p>
        </w:tc>
        <w:tc>
          <w:tcPr>
            <w:tcW w:w="598" w:type="pct"/>
            <w:vAlign w:val="center"/>
          </w:tcPr>
          <w:p w14:paraId="17FD4FC0">
            <w:pPr>
              <w:jc w:val="center"/>
              <w:rPr>
                <w:rFonts w:hint="eastAsia" w:ascii="仿宋" w:hAnsi="仿宋" w:eastAsia="仿宋"/>
                <w:sz w:val="28"/>
                <w:szCs w:val="28"/>
              </w:rPr>
            </w:pPr>
            <w:r>
              <w:rPr>
                <w:rFonts w:hint="eastAsia" w:ascii="仿宋" w:hAnsi="仿宋" w:eastAsia="仿宋"/>
                <w:sz w:val="28"/>
                <w:szCs w:val="28"/>
              </w:rPr>
              <w:t>数量</w:t>
            </w:r>
          </w:p>
        </w:tc>
        <w:tc>
          <w:tcPr>
            <w:tcW w:w="2611" w:type="pct"/>
            <w:vAlign w:val="center"/>
          </w:tcPr>
          <w:p w14:paraId="6BE9336B">
            <w:pPr>
              <w:jc w:val="center"/>
              <w:rPr>
                <w:rFonts w:hint="eastAsia" w:ascii="仿宋" w:hAnsi="仿宋" w:eastAsia="仿宋"/>
                <w:sz w:val="28"/>
                <w:szCs w:val="28"/>
              </w:rPr>
            </w:pPr>
            <w:r>
              <w:rPr>
                <w:rFonts w:hint="eastAsia" w:ascii="仿宋" w:hAnsi="仿宋" w:eastAsia="仿宋"/>
                <w:sz w:val="28"/>
                <w:szCs w:val="28"/>
              </w:rPr>
              <w:t>说明</w:t>
            </w:r>
          </w:p>
        </w:tc>
      </w:tr>
      <w:tr w14:paraId="13FF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313CCE11">
            <w:pPr>
              <w:jc w:val="center"/>
              <w:rPr>
                <w:rFonts w:hint="eastAsia" w:ascii="仿宋" w:hAnsi="仿宋" w:eastAsia="仿宋"/>
                <w:sz w:val="28"/>
                <w:szCs w:val="28"/>
              </w:rPr>
            </w:pPr>
            <w:r>
              <w:rPr>
                <w:rFonts w:hint="eastAsia" w:ascii="仿宋" w:hAnsi="仿宋" w:eastAsia="仿宋"/>
                <w:sz w:val="28"/>
                <w:szCs w:val="28"/>
              </w:rPr>
              <w:t>1</w:t>
            </w:r>
          </w:p>
        </w:tc>
        <w:tc>
          <w:tcPr>
            <w:tcW w:w="1281" w:type="pct"/>
            <w:vAlign w:val="center"/>
          </w:tcPr>
          <w:p w14:paraId="04BA3C05">
            <w:pPr>
              <w:jc w:val="center"/>
              <w:rPr>
                <w:rFonts w:hint="eastAsia" w:ascii="仿宋" w:hAnsi="仿宋" w:eastAsia="仿宋"/>
                <w:sz w:val="28"/>
                <w:szCs w:val="28"/>
              </w:rPr>
            </w:pPr>
            <w:r>
              <w:rPr>
                <w:rFonts w:hint="eastAsia" w:ascii="仿宋" w:hAnsi="仿宋" w:eastAsia="仿宋"/>
                <w:sz w:val="28"/>
                <w:szCs w:val="28"/>
              </w:rPr>
              <w:t>笔记本电脑</w:t>
            </w:r>
          </w:p>
        </w:tc>
        <w:tc>
          <w:tcPr>
            <w:tcW w:w="598" w:type="pct"/>
            <w:vAlign w:val="center"/>
          </w:tcPr>
          <w:p w14:paraId="779D371F">
            <w:pPr>
              <w:jc w:val="center"/>
              <w:rPr>
                <w:rFonts w:hint="eastAsia" w:ascii="仿宋" w:hAnsi="仿宋" w:eastAsia="仿宋"/>
                <w:sz w:val="28"/>
                <w:szCs w:val="28"/>
              </w:rPr>
            </w:pPr>
            <w:r>
              <w:rPr>
                <w:rFonts w:hint="eastAsia" w:ascii="仿宋" w:hAnsi="仿宋" w:eastAsia="仿宋"/>
                <w:sz w:val="28"/>
                <w:szCs w:val="28"/>
              </w:rPr>
              <w:t>1台</w:t>
            </w:r>
          </w:p>
        </w:tc>
        <w:tc>
          <w:tcPr>
            <w:tcW w:w="2611" w:type="pct"/>
            <w:vAlign w:val="center"/>
          </w:tcPr>
          <w:p w14:paraId="6558A003">
            <w:pPr>
              <w:rPr>
                <w:rFonts w:hint="eastAsia" w:ascii="仿宋" w:hAnsi="仿宋" w:eastAsia="仿宋"/>
                <w:sz w:val="28"/>
                <w:szCs w:val="28"/>
              </w:rPr>
            </w:pPr>
            <w:r>
              <w:rPr>
                <w:rFonts w:hint="eastAsia" w:ascii="仿宋" w:hAnsi="仿宋" w:eastAsia="仿宋"/>
                <w:sz w:val="28"/>
                <w:szCs w:val="28"/>
              </w:rPr>
              <w:t>Intel Core i7 或 AMD Ryzen 7 处理器，32GB DDR4 内存，1TB NVMe SSD，NVIDIA GeForce RTX 3060显卡，操作系统（Windows 10/11、 Kali Linux等），以太网接口，无线网络适配器。</w:t>
            </w:r>
          </w:p>
        </w:tc>
      </w:tr>
      <w:tr w14:paraId="2B98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4D07C9D5">
            <w:pPr>
              <w:jc w:val="center"/>
              <w:rPr>
                <w:rFonts w:hint="eastAsia" w:ascii="仿宋" w:hAnsi="仿宋" w:eastAsia="仿宋"/>
                <w:sz w:val="28"/>
                <w:szCs w:val="28"/>
              </w:rPr>
            </w:pPr>
            <w:r>
              <w:rPr>
                <w:rFonts w:hint="eastAsia" w:ascii="仿宋" w:hAnsi="仿宋" w:eastAsia="仿宋"/>
                <w:sz w:val="28"/>
                <w:szCs w:val="28"/>
              </w:rPr>
              <w:t>2</w:t>
            </w:r>
          </w:p>
        </w:tc>
        <w:tc>
          <w:tcPr>
            <w:tcW w:w="1281" w:type="pct"/>
            <w:vAlign w:val="center"/>
          </w:tcPr>
          <w:p w14:paraId="3ED6DE99">
            <w:pPr>
              <w:jc w:val="center"/>
              <w:rPr>
                <w:rFonts w:hint="eastAsia" w:ascii="仿宋" w:hAnsi="仿宋" w:eastAsia="仿宋"/>
                <w:sz w:val="28"/>
                <w:szCs w:val="28"/>
              </w:rPr>
            </w:pPr>
            <w:r>
              <w:rPr>
                <w:rFonts w:hint="eastAsia" w:ascii="仿宋" w:hAnsi="仿宋" w:eastAsia="仿宋"/>
                <w:sz w:val="28"/>
                <w:szCs w:val="28"/>
              </w:rPr>
              <w:t>有线鼠标</w:t>
            </w:r>
          </w:p>
        </w:tc>
        <w:tc>
          <w:tcPr>
            <w:tcW w:w="598" w:type="pct"/>
            <w:vAlign w:val="center"/>
          </w:tcPr>
          <w:p w14:paraId="542674D7">
            <w:pPr>
              <w:jc w:val="center"/>
              <w:rPr>
                <w:rFonts w:hint="eastAsia" w:ascii="仿宋" w:hAnsi="仿宋" w:eastAsia="仿宋"/>
                <w:sz w:val="28"/>
                <w:szCs w:val="28"/>
              </w:rPr>
            </w:pPr>
            <w:r>
              <w:rPr>
                <w:rFonts w:hint="eastAsia" w:ascii="仿宋" w:hAnsi="仿宋" w:eastAsia="仿宋"/>
                <w:sz w:val="28"/>
                <w:szCs w:val="28"/>
              </w:rPr>
              <w:t>1个</w:t>
            </w:r>
          </w:p>
        </w:tc>
        <w:tc>
          <w:tcPr>
            <w:tcW w:w="2611" w:type="pct"/>
            <w:vAlign w:val="center"/>
          </w:tcPr>
          <w:p w14:paraId="625D2D1A">
            <w:pPr>
              <w:jc w:val="left"/>
              <w:rPr>
                <w:rFonts w:hint="eastAsia" w:ascii="仿宋" w:hAnsi="仿宋" w:eastAsia="仿宋"/>
                <w:sz w:val="28"/>
                <w:szCs w:val="28"/>
              </w:rPr>
            </w:pPr>
            <w:r>
              <w:rPr>
                <w:rFonts w:hint="eastAsia" w:ascii="仿宋" w:hAnsi="仿宋" w:eastAsia="仿宋"/>
                <w:sz w:val="28"/>
                <w:szCs w:val="28"/>
              </w:rPr>
              <w:t>有</w:t>
            </w:r>
            <w:r>
              <w:rPr>
                <w:rFonts w:hint="eastAsia" w:ascii="仿宋" w:hAnsi="仿宋" w:eastAsia="仿宋" w:cs="宋体"/>
                <w:color w:val="000000"/>
                <w:kern w:val="0"/>
                <w:sz w:val="28"/>
                <w:szCs w:val="28"/>
              </w:rPr>
              <w:t>信号屏蔽仪，请尽量带有线鼠标键盘。</w:t>
            </w:r>
          </w:p>
        </w:tc>
      </w:tr>
      <w:tr w14:paraId="25EB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vAlign w:val="center"/>
          </w:tcPr>
          <w:p w14:paraId="06F0C2CA">
            <w:pPr>
              <w:jc w:val="center"/>
              <w:rPr>
                <w:rFonts w:hint="eastAsia" w:ascii="仿宋" w:hAnsi="仿宋" w:eastAsia="仿宋"/>
                <w:sz w:val="28"/>
                <w:szCs w:val="28"/>
              </w:rPr>
            </w:pPr>
            <w:r>
              <w:rPr>
                <w:rFonts w:hint="eastAsia" w:ascii="仿宋" w:hAnsi="仿宋" w:eastAsia="仿宋"/>
                <w:sz w:val="28"/>
                <w:szCs w:val="28"/>
              </w:rPr>
              <w:t>3</w:t>
            </w:r>
          </w:p>
        </w:tc>
        <w:tc>
          <w:tcPr>
            <w:tcW w:w="1281" w:type="pct"/>
            <w:vAlign w:val="center"/>
          </w:tcPr>
          <w:p w14:paraId="5D6D6166">
            <w:pPr>
              <w:jc w:val="center"/>
              <w:rPr>
                <w:rFonts w:hint="eastAsia" w:ascii="仿宋" w:hAnsi="仿宋" w:eastAsia="仿宋"/>
                <w:sz w:val="28"/>
                <w:szCs w:val="28"/>
              </w:rPr>
            </w:pPr>
            <w:r>
              <w:rPr>
                <w:rFonts w:hint="eastAsia" w:ascii="仿宋" w:hAnsi="仿宋" w:eastAsia="仿宋"/>
                <w:sz w:val="28"/>
                <w:szCs w:val="28"/>
              </w:rPr>
              <w:t>RJ45接口转换器</w:t>
            </w:r>
          </w:p>
        </w:tc>
        <w:tc>
          <w:tcPr>
            <w:tcW w:w="598" w:type="pct"/>
            <w:vAlign w:val="center"/>
          </w:tcPr>
          <w:p w14:paraId="483E71BA">
            <w:pPr>
              <w:jc w:val="center"/>
              <w:rPr>
                <w:rFonts w:hint="eastAsia" w:ascii="仿宋" w:hAnsi="仿宋" w:eastAsia="仿宋"/>
                <w:sz w:val="28"/>
                <w:szCs w:val="28"/>
              </w:rPr>
            </w:pPr>
            <w:r>
              <w:rPr>
                <w:rFonts w:hint="eastAsia" w:ascii="仿宋" w:hAnsi="仿宋" w:eastAsia="仿宋"/>
                <w:sz w:val="28"/>
                <w:szCs w:val="28"/>
              </w:rPr>
              <w:t>1个</w:t>
            </w:r>
          </w:p>
        </w:tc>
        <w:tc>
          <w:tcPr>
            <w:tcW w:w="2611" w:type="pct"/>
            <w:vAlign w:val="center"/>
          </w:tcPr>
          <w:p w14:paraId="1E9DC716">
            <w:pPr>
              <w:jc w:val="left"/>
              <w:rPr>
                <w:rFonts w:hint="eastAsia" w:ascii="仿宋" w:hAnsi="仿宋" w:eastAsia="仿宋"/>
                <w:sz w:val="28"/>
                <w:szCs w:val="28"/>
              </w:rPr>
            </w:pPr>
            <w:r>
              <w:rPr>
                <w:rFonts w:hint="eastAsia" w:ascii="仿宋" w:hAnsi="仿宋" w:eastAsia="仿宋"/>
                <w:sz w:val="28"/>
                <w:szCs w:val="28"/>
              </w:rPr>
              <w:t>若笔记本电脑无网口，需自备。</w:t>
            </w:r>
          </w:p>
        </w:tc>
      </w:tr>
    </w:tbl>
    <w:p w14:paraId="51019355">
      <w:pPr>
        <w:snapToGrid w:val="0"/>
        <w:spacing w:line="360" w:lineRule="auto"/>
        <w:rPr>
          <w:rFonts w:hint="eastAsia"/>
        </w:rPr>
      </w:pPr>
    </w:p>
    <w:p w14:paraId="2D79F633">
      <w:pPr>
        <w:pStyle w:val="41"/>
        <w:snapToGrid w:val="0"/>
        <w:spacing w:line="360" w:lineRule="auto"/>
        <w:ind w:left="0" w:firstLine="640" w:firstLineChars="200"/>
        <w:rPr>
          <w:rFonts w:hint="eastAsia" w:ascii="仿宋" w:hAnsi="仿宋" w:eastAsia="仿宋"/>
          <w:sz w:val="32"/>
          <w:szCs w:val="32"/>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HYZhongHeiKW">
    <w:altName w:val="微软雅黑"/>
    <w:panose1 w:val="00000000000000000000"/>
    <w:charset w:val="86"/>
    <w:family w:val="auto"/>
    <w:pitch w:val="default"/>
    <w:sig w:usb0="00000000" w:usb1="00000000" w:usb2="00000016" w:usb3="00000000" w:csb0="00040000" w:csb1="00000000"/>
  </w:font>
  <w:font w:name="DejaVu Sans">
    <w:panose1 w:val="020B0603030804020204"/>
    <w:charset w:val="00"/>
    <w:family w:val="auto"/>
    <w:pitch w:val="default"/>
    <w:sig w:usb0="E7006EFF" w:usb1="D200FDFF" w:usb2="0A246029" w:usb3="0400200C" w:csb0="600001FF" w:csb1="DFFF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8022196"/>
      <w:docPartObj>
        <w:docPartGallery w:val="autotext"/>
      </w:docPartObj>
    </w:sdtPr>
    <w:sdtEndPr>
      <w:rPr>
        <w:rFonts w:ascii="Times New Roman" w:hAnsi="Times New Roman" w:cs="Times New Roman"/>
        <w:sz w:val="24"/>
        <w:szCs w:val="24"/>
      </w:rPr>
    </w:sdtEndPr>
    <w:sdtContent>
      <w:p w14:paraId="738A3471">
        <w:pPr>
          <w:pStyle w:val="15"/>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17</w:t>
        </w:r>
        <w:r>
          <w:rPr>
            <w:rFonts w:ascii="Times New Roman" w:hAnsi="Times New Roman" w:cs="Times New Roman"/>
            <w:sz w:val="24"/>
            <w:szCs w:val="24"/>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044063"/>
    <w:multiLevelType w:val="multilevel"/>
    <w:tmpl w:val="43044063"/>
    <w:lvl w:ilvl="0" w:tentative="0">
      <w:start w:val="1"/>
      <w:numFmt w:val="decimal"/>
      <w:suff w:val="space"/>
      <w:lvlText w:val="（%1）"/>
      <w:lvlJc w:val="left"/>
      <w:pPr>
        <w:ind w:left="2360" w:hanging="1080"/>
      </w:pPr>
      <w:rPr>
        <w:rFonts w:hint="default"/>
      </w:rPr>
    </w:lvl>
    <w:lvl w:ilvl="1" w:tentative="0">
      <w:start w:val="1"/>
      <w:numFmt w:val="lowerLetter"/>
      <w:lvlText w:val="%2)"/>
      <w:lvlJc w:val="left"/>
      <w:pPr>
        <w:ind w:left="2160" w:hanging="440"/>
      </w:pPr>
    </w:lvl>
    <w:lvl w:ilvl="2" w:tentative="0">
      <w:start w:val="1"/>
      <w:numFmt w:val="lowerRoman"/>
      <w:lvlText w:val="%3."/>
      <w:lvlJc w:val="right"/>
      <w:pPr>
        <w:ind w:left="2600" w:hanging="440"/>
      </w:pPr>
    </w:lvl>
    <w:lvl w:ilvl="3" w:tentative="0">
      <w:start w:val="1"/>
      <w:numFmt w:val="decimal"/>
      <w:lvlText w:val="%4."/>
      <w:lvlJc w:val="left"/>
      <w:pPr>
        <w:ind w:left="3040" w:hanging="440"/>
      </w:pPr>
    </w:lvl>
    <w:lvl w:ilvl="4" w:tentative="0">
      <w:start w:val="1"/>
      <w:numFmt w:val="lowerLetter"/>
      <w:lvlText w:val="%5)"/>
      <w:lvlJc w:val="left"/>
      <w:pPr>
        <w:ind w:left="3480" w:hanging="440"/>
      </w:pPr>
    </w:lvl>
    <w:lvl w:ilvl="5" w:tentative="0">
      <w:start w:val="1"/>
      <w:numFmt w:val="lowerRoman"/>
      <w:lvlText w:val="%6."/>
      <w:lvlJc w:val="right"/>
      <w:pPr>
        <w:ind w:left="3920" w:hanging="440"/>
      </w:pPr>
    </w:lvl>
    <w:lvl w:ilvl="6" w:tentative="0">
      <w:start w:val="1"/>
      <w:numFmt w:val="decimal"/>
      <w:lvlText w:val="%7."/>
      <w:lvlJc w:val="left"/>
      <w:pPr>
        <w:ind w:left="4360" w:hanging="440"/>
      </w:pPr>
    </w:lvl>
    <w:lvl w:ilvl="7" w:tentative="0">
      <w:start w:val="1"/>
      <w:numFmt w:val="lowerLetter"/>
      <w:lvlText w:val="%8)"/>
      <w:lvlJc w:val="left"/>
      <w:pPr>
        <w:ind w:left="4800" w:hanging="440"/>
      </w:pPr>
    </w:lvl>
    <w:lvl w:ilvl="8" w:tentative="0">
      <w:start w:val="1"/>
      <w:numFmt w:val="lowerRoman"/>
      <w:lvlText w:val="%9."/>
      <w:lvlJc w:val="right"/>
      <w:pPr>
        <w:ind w:left="5240" w:hanging="440"/>
      </w:pPr>
    </w:lvl>
  </w:abstractNum>
  <w:abstractNum w:abstractNumId="1">
    <w:nsid w:val="723E7E81"/>
    <w:multiLevelType w:val="multilevel"/>
    <w:tmpl w:val="723E7E81"/>
    <w:lvl w:ilvl="0" w:tentative="0">
      <w:start w:val="1"/>
      <w:numFmt w:val="decimal"/>
      <w:suff w:val="space"/>
      <w:lvlText w:val="%1、"/>
      <w:lvlJc w:val="left"/>
      <w:pPr>
        <w:ind w:left="1554" w:hanging="420"/>
      </w:pPr>
      <w:rPr>
        <w:rFonts w:hint="eastAsia"/>
      </w:rPr>
    </w:lvl>
    <w:lvl w:ilvl="1" w:tentative="0">
      <w:start w:val="1"/>
      <w:numFmt w:val="lowerLetter"/>
      <w:lvlText w:val="%2)"/>
      <w:lvlJc w:val="left"/>
      <w:pPr>
        <w:ind w:left="1400" w:hanging="420"/>
      </w:pPr>
      <w:rPr>
        <w:rFonts w:hint="eastAsia"/>
      </w:rPr>
    </w:lvl>
    <w:lvl w:ilvl="2" w:tentative="0">
      <w:start w:val="1"/>
      <w:numFmt w:val="lowerRoman"/>
      <w:lvlText w:val="%3."/>
      <w:lvlJc w:val="right"/>
      <w:pPr>
        <w:ind w:left="1820" w:hanging="420"/>
      </w:pPr>
      <w:rPr>
        <w:rFonts w:hint="eastAsia"/>
      </w:rPr>
    </w:lvl>
    <w:lvl w:ilvl="3" w:tentative="0">
      <w:start w:val="1"/>
      <w:numFmt w:val="decimal"/>
      <w:lvlText w:val="%4."/>
      <w:lvlJc w:val="left"/>
      <w:pPr>
        <w:ind w:left="2240" w:hanging="420"/>
      </w:pPr>
      <w:rPr>
        <w:rFonts w:hint="eastAsia"/>
      </w:rPr>
    </w:lvl>
    <w:lvl w:ilvl="4" w:tentative="0">
      <w:start w:val="1"/>
      <w:numFmt w:val="lowerLetter"/>
      <w:lvlText w:val="%5)"/>
      <w:lvlJc w:val="left"/>
      <w:pPr>
        <w:ind w:left="2660" w:hanging="420"/>
      </w:pPr>
      <w:rPr>
        <w:rFonts w:hint="eastAsia"/>
      </w:rPr>
    </w:lvl>
    <w:lvl w:ilvl="5" w:tentative="0">
      <w:start w:val="1"/>
      <w:numFmt w:val="lowerRoman"/>
      <w:lvlText w:val="%6."/>
      <w:lvlJc w:val="right"/>
      <w:pPr>
        <w:ind w:left="3080" w:hanging="420"/>
      </w:pPr>
      <w:rPr>
        <w:rFonts w:hint="eastAsia"/>
      </w:rPr>
    </w:lvl>
    <w:lvl w:ilvl="6" w:tentative="0">
      <w:start w:val="1"/>
      <w:numFmt w:val="decimal"/>
      <w:lvlText w:val="%7."/>
      <w:lvlJc w:val="left"/>
      <w:pPr>
        <w:ind w:left="3500" w:hanging="420"/>
      </w:pPr>
      <w:rPr>
        <w:rFonts w:hint="eastAsia"/>
      </w:rPr>
    </w:lvl>
    <w:lvl w:ilvl="7" w:tentative="0">
      <w:start w:val="1"/>
      <w:numFmt w:val="lowerLetter"/>
      <w:lvlText w:val="%8)"/>
      <w:lvlJc w:val="left"/>
      <w:pPr>
        <w:ind w:left="3920" w:hanging="420"/>
      </w:pPr>
      <w:rPr>
        <w:rFonts w:hint="eastAsia"/>
      </w:rPr>
    </w:lvl>
    <w:lvl w:ilvl="8" w:tentative="0">
      <w:start w:val="1"/>
      <w:numFmt w:val="lowerRoman"/>
      <w:lvlText w:val="%9."/>
      <w:lvlJc w:val="right"/>
      <w:pPr>
        <w:ind w:left="4340" w:hanging="420"/>
      </w:pPr>
      <w:rPr>
        <w:rFonts w:hint="eastAsia"/>
      </w:rPr>
    </w:lvl>
  </w:abstractNum>
  <w:abstractNum w:abstractNumId="2">
    <w:nsid w:val="76270C38"/>
    <w:multiLevelType w:val="multilevel"/>
    <w:tmpl w:val="76270C38"/>
    <w:lvl w:ilvl="0" w:tentative="0">
      <w:start w:val="1"/>
      <w:numFmt w:val="chineseCountingThousand"/>
      <w:pStyle w:val="2"/>
      <w:suff w:val="space"/>
      <w:lvlText w:val="%1、"/>
      <w:lvlJc w:val="left"/>
      <w:pPr>
        <w:ind w:left="0" w:firstLine="0"/>
      </w:pPr>
      <w:rPr>
        <w:rFonts w:hint="eastAsia"/>
      </w:rPr>
    </w:lvl>
    <w:lvl w:ilvl="1" w:tentative="0">
      <w:start w:val="1"/>
      <w:numFmt w:val="chineseCountingThousand"/>
      <w:pStyle w:val="3"/>
      <w:suff w:val="space"/>
      <w:lvlText w:val="（%2）"/>
      <w:lvlJc w:val="left"/>
      <w:pPr>
        <w:ind w:left="0" w:firstLine="0"/>
      </w:pPr>
      <w:rPr>
        <w:rFonts w:hint="eastAsia"/>
        <w:color w:val="auto"/>
      </w:rPr>
    </w:lvl>
    <w:lvl w:ilvl="2" w:tentative="0">
      <w:start w:val="1"/>
      <w:numFmt w:val="decimal"/>
      <w:pStyle w:val="4"/>
      <w:suff w:val="space"/>
      <w:lvlText w:val="%3."/>
      <w:lvlJc w:val="left"/>
      <w:pPr>
        <w:ind w:left="0" w:firstLine="0"/>
      </w:pPr>
      <w:rPr>
        <w:rFonts w:hint="default" w:ascii="Times New Roman" w:hAnsi="Times New Roman" w:cs="Times New Roman"/>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0260528"/>
    <w:rsid w:val="00071C31"/>
    <w:rsid w:val="00074F19"/>
    <w:rsid w:val="00076AF9"/>
    <w:rsid w:val="000B6319"/>
    <w:rsid w:val="00107D38"/>
    <w:rsid w:val="00152212"/>
    <w:rsid w:val="00152A3D"/>
    <w:rsid w:val="00165DDC"/>
    <w:rsid w:val="00177C88"/>
    <w:rsid w:val="001B1E0F"/>
    <w:rsid w:val="001C0F06"/>
    <w:rsid w:val="001D1FEC"/>
    <w:rsid w:val="001E01D9"/>
    <w:rsid w:val="00213DFE"/>
    <w:rsid w:val="00260528"/>
    <w:rsid w:val="0029169E"/>
    <w:rsid w:val="002945D3"/>
    <w:rsid w:val="00294F0F"/>
    <w:rsid w:val="002B539F"/>
    <w:rsid w:val="002D76D6"/>
    <w:rsid w:val="002F6406"/>
    <w:rsid w:val="00306B33"/>
    <w:rsid w:val="003077EE"/>
    <w:rsid w:val="00314B08"/>
    <w:rsid w:val="0034219E"/>
    <w:rsid w:val="003773FE"/>
    <w:rsid w:val="003E34E8"/>
    <w:rsid w:val="003F4AE7"/>
    <w:rsid w:val="00401586"/>
    <w:rsid w:val="0043081C"/>
    <w:rsid w:val="004450DC"/>
    <w:rsid w:val="00486E6E"/>
    <w:rsid w:val="00497CD1"/>
    <w:rsid w:val="004B0DE1"/>
    <w:rsid w:val="004B252C"/>
    <w:rsid w:val="004E01AF"/>
    <w:rsid w:val="004E2FFE"/>
    <w:rsid w:val="0058664D"/>
    <w:rsid w:val="005928B0"/>
    <w:rsid w:val="005D413E"/>
    <w:rsid w:val="00600729"/>
    <w:rsid w:val="00633F67"/>
    <w:rsid w:val="00662F00"/>
    <w:rsid w:val="006A500B"/>
    <w:rsid w:val="006A618E"/>
    <w:rsid w:val="006D0AA2"/>
    <w:rsid w:val="006E0A62"/>
    <w:rsid w:val="0070537F"/>
    <w:rsid w:val="007374C7"/>
    <w:rsid w:val="00741B2A"/>
    <w:rsid w:val="00763A9F"/>
    <w:rsid w:val="0077766A"/>
    <w:rsid w:val="00783390"/>
    <w:rsid w:val="007C139B"/>
    <w:rsid w:val="007E63EA"/>
    <w:rsid w:val="0084412B"/>
    <w:rsid w:val="008457C5"/>
    <w:rsid w:val="00852DE6"/>
    <w:rsid w:val="00862F32"/>
    <w:rsid w:val="00864CFC"/>
    <w:rsid w:val="008C5E08"/>
    <w:rsid w:val="008D50DB"/>
    <w:rsid w:val="00901EEC"/>
    <w:rsid w:val="009036E3"/>
    <w:rsid w:val="00907691"/>
    <w:rsid w:val="00941706"/>
    <w:rsid w:val="00941A20"/>
    <w:rsid w:val="00987EDA"/>
    <w:rsid w:val="009B13AF"/>
    <w:rsid w:val="009D6CFB"/>
    <w:rsid w:val="00A05EA3"/>
    <w:rsid w:val="00A16138"/>
    <w:rsid w:val="00A93755"/>
    <w:rsid w:val="00AB28CB"/>
    <w:rsid w:val="00AB5DA6"/>
    <w:rsid w:val="00AC4A1E"/>
    <w:rsid w:val="00AF7D6B"/>
    <w:rsid w:val="00B0196C"/>
    <w:rsid w:val="00B054F8"/>
    <w:rsid w:val="00B23829"/>
    <w:rsid w:val="00B308B1"/>
    <w:rsid w:val="00B52F75"/>
    <w:rsid w:val="00B7082F"/>
    <w:rsid w:val="00B776B2"/>
    <w:rsid w:val="00BA09F7"/>
    <w:rsid w:val="00BD71AB"/>
    <w:rsid w:val="00C00CB0"/>
    <w:rsid w:val="00C2461C"/>
    <w:rsid w:val="00C64481"/>
    <w:rsid w:val="00C64D6A"/>
    <w:rsid w:val="00CD4D16"/>
    <w:rsid w:val="00CF2E31"/>
    <w:rsid w:val="00D451B4"/>
    <w:rsid w:val="00D94D26"/>
    <w:rsid w:val="00DD6A30"/>
    <w:rsid w:val="00DF2B12"/>
    <w:rsid w:val="00E25207"/>
    <w:rsid w:val="00E36EAE"/>
    <w:rsid w:val="00E417FB"/>
    <w:rsid w:val="00E603E8"/>
    <w:rsid w:val="00EE42FF"/>
    <w:rsid w:val="00F26829"/>
    <w:rsid w:val="00FA6626"/>
    <w:rsid w:val="00FB647F"/>
    <w:rsid w:val="00FE5BFC"/>
    <w:rsid w:val="02EC221E"/>
    <w:rsid w:val="FF5E1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8"/>
    <w:qFormat/>
    <w:uiPriority w:val="9"/>
    <w:pPr>
      <w:keepNext/>
      <w:keepLines/>
      <w:numPr>
        <w:ilvl w:val="0"/>
        <w:numId w:val="1"/>
      </w:numPr>
      <w:spacing w:line="360" w:lineRule="auto"/>
      <w:outlineLvl w:val="0"/>
    </w:pPr>
    <w:rPr>
      <w:rFonts w:eastAsia="黑体" w:asciiTheme="majorHAnsi" w:hAnsiTheme="majorHAnsi" w:cstheme="majorBidi"/>
      <w:b/>
      <w:color w:val="104862" w:themeColor="accent1" w:themeShade="BF"/>
      <w:sz w:val="32"/>
      <w:szCs w:val="48"/>
    </w:rPr>
  </w:style>
  <w:style w:type="paragraph" w:styleId="3">
    <w:name w:val="heading 2"/>
    <w:basedOn w:val="1"/>
    <w:next w:val="1"/>
    <w:link w:val="29"/>
    <w:unhideWhenUsed/>
    <w:qFormat/>
    <w:uiPriority w:val="9"/>
    <w:pPr>
      <w:keepNext/>
      <w:keepLines/>
      <w:numPr>
        <w:ilvl w:val="1"/>
        <w:numId w:val="1"/>
      </w:numPr>
      <w:spacing w:line="360" w:lineRule="auto"/>
      <w:outlineLvl w:val="1"/>
    </w:pPr>
    <w:rPr>
      <w:rFonts w:eastAsia="仿宋" w:asciiTheme="majorHAnsi" w:hAnsiTheme="majorHAnsi" w:cstheme="majorBidi"/>
      <w:b/>
      <w:sz w:val="32"/>
      <w:szCs w:val="40"/>
    </w:rPr>
  </w:style>
  <w:style w:type="paragraph" w:styleId="4">
    <w:name w:val="heading 3"/>
    <w:basedOn w:val="1"/>
    <w:next w:val="1"/>
    <w:link w:val="30"/>
    <w:unhideWhenUsed/>
    <w:qFormat/>
    <w:uiPriority w:val="9"/>
    <w:pPr>
      <w:keepNext/>
      <w:keepLines/>
      <w:numPr>
        <w:ilvl w:val="2"/>
        <w:numId w:val="1"/>
      </w:numPr>
      <w:spacing w:line="360" w:lineRule="auto"/>
      <w:ind w:firstLine="200" w:firstLineChars="200"/>
      <w:outlineLvl w:val="2"/>
    </w:pPr>
    <w:rPr>
      <w:rFonts w:eastAsia="仿宋" w:asciiTheme="majorHAnsi" w:hAnsiTheme="majorHAnsi" w:cstheme="majorBidi"/>
      <w:sz w:val="32"/>
      <w:szCs w:val="32"/>
    </w:rPr>
  </w:style>
  <w:style w:type="paragraph" w:styleId="5">
    <w:name w:val="heading 4"/>
    <w:basedOn w:val="1"/>
    <w:next w:val="1"/>
    <w:link w:val="3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32"/>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33"/>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3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50"/>
    <w:unhideWhenUsed/>
    <w:qFormat/>
    <w:uiPriority w:val="99"/>
    <w:pPr>
      <w:jc w:val="left"/>
    </w:pPr>
  </w:style>
  <w:style w:type="paragraph" w:styleId="12">
    <w:name w:val="Body Text"/>
    <w:basedOn w:val="1"/>
    <w:link w:val="46"/>
    <w:semiHidden/>
    <w:unhideWhenUsed/>
    <w:qFormat/>
    <w:uiPriority w:val="99"/>
    <w:pPr>
      <w:spacing w:after="120"/>
    </w:pPr>
  </w:style>
  <w:style w:type="paragraph" w:styleId="13">
    <w:name w:val="toc 3"/>
    <w:basedOn w:val="1"/>
    <w:next w:val="1"/>
    <w:autoRedefine/>
    <w:unhideWhenUsed/>
    <w:qFormat/>
    <w:uiPriority w:val="39"/>
    <w:pPr>
      <w:ind w:left="840" w:leftChars="400"/>
    </w:pPr>
  </w:style>
  <w:style w:type="paragraph" w:styleId="14">
    <w:name w:val="Balloon Text"/>
    <w:basedOn w:val="1"/>
    <w:link w:val="53"/>
    <w:semiHidden/>
    <w:unhideWhenUsed/>
    <w:qFormat/>
    <w:uiPriority w:val="99"/>
    <w:rPr>
      <w:sz w:val="18"/>
      <w:szCs w:val="18"/>
    </w:rPr>
  </w:style>
  <w:style w:type="paragraph" w:styleId="15">
    <w:name w:val="footer"/>
    <w:basedOn w:val="1"/>
    <w:link w:val="49"/>
    <w:unhideWhenUsed/>
    <w:qFormat/>
    <w:uiPriority w:val="99"/>
    <w:pPr>
      <w:tabs>
        <w:tab w:val="center" w:pos="4153"/>
        <w:tab w:val="right" w:pos="8306"/>
      </w:tabs>
      <w:snapToGrid w:val="0"/>
      <w:jc w:val="left"/>
    </w:pPr>
    <w:rPr>
      <w:sz w:val="18"/>
      <w:szCs w:val="18"/>
    </w:rPr>
  </w:style>
  <w:style w:type="paragraph" w:styleId="16">
    <w:name w:val="header"/>
    <w:basedOn w:val="1"/>
    <w:link w:val="48"/>
    <w:unhideWhenUsed/>
    <w:qFormat/>
    <w:uiPriority w:val="99"/>
    <w:pP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Subtitle"/>
    <w:basedOn w:val="1"/>
    <w:next w:val="1"/>
    <w:link w:val="3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9">
    <w:name w:val="toc 2"/>
    <w:basedOn w:val="1"/>
    <w:next w:val="1"/>
    <w:autoRedefine/>
    <w:unhideWhenUsed/>
    <w:qFormat/>
    <w:uiPriority w:val="39"/>
    <w:pPr>
      <w:ind w:left="420" w:leftChars="200"/>
    </w:pPr>
  </w:style>
  <w:style w:type="paragraph" w:styleId="20">
    <w:name w:val="Title"/>
    <w:basedOn w:val="1"/>
    <w:next w:val="1"/>
    <w:link w:val="37"/>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1">
    <w:name w:val="annotation subject"/>
    <w:basedOn w:val="11"/>
    <w:next w:val="11"/>
    <w:link w:val="51"/>
    <w:semiHidden/>
    <w:unhideWhenUsed/>
    <w:qFormat/>
    <w:uiPriority w:val="99"/>
    <w:rPr>
      <w:b/>
      <w:bCs/>
    </w:rPr>
  </w:style>
  <w:style w:type="paragraph" w:styleId="22">
    <w:name w:val="Body Text First Indent"/>
    <w:basedOn w:val="12"/>
    <w:link w:val="47"/>
    <w:qFormat/>
    <w:uiPriority w:val="0"/>
    <w:pPr>
      <w:spacing w:after="0" w:line="560" w:lineRule="exact"/>
      <w:ind w:firstLine="721" w:firstLineChars="200"/>
    </w:pPr>
    <w:rPr>
      <w:rFonts w:ascii="仿宋_GB2312" w:hAnsi="Times New Roman" w:eastAsia="仿宋_GB2312" w:cs="仿宋_GB2312"/>
      <w:sz w:val="32"/>
      <w:szCs w:val="32"/>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unhideWhenUsed/>
    <w:qFormat/>
    <w:uiPriority w:val="99"/>
    <w:rPr>
      <w:color w:val="467886" w:themeColor="hyperlink"/>
      <w:u w:val="single"/>
      <w14:textFill>
        <w14:solidFill>
          <w14:schemeClr w14:val="hlink"/>
        </w14:solidFill>
      </w14:textFill>
    </w:rPr>
  </w:style>
  <w:style w:type="character" w:styleId="27">
    <w:name w:val="annotation reference"/>
    <w:basedOn w:val="25"/>
    <w:semiHidden/>
    <w:unhideWhenUsed/>
    <w:qFormat/>
    <w:uiPriority w:val="99"/>
    <w:rPr>
      <w:sz w:val="21"/>
      <w:szCs w:val="21"/>
    </w:rPr>
  </w:style>
  <w:style w:type="character" w:customStyle="1" w:styleId="28">
    <w:name w:val="标题 1 字符"/>
    <w:basedOn w:val="25"/>
    <w:link w:val="2"/>
    <w:qFormat/>
    <w:uiPriority w:val="9"/>
    <w:rPr>
      <w:rFonts w:eastAsia="黑体" w:asciiTheme="majorHAnsi" w:hAnsiTheme="majorHAnsi" w:cstheme="majorBidi"/>
      <w:b/>
      <w:color w:val="104862" w:themeColor="accent1" w:themeShade="BF"/>
      <w:kern w:val="2"/>
      <w:sz w:val="32"/>
      <w:szCs w:val="48"/>
    </w:rPr>
  </w:style>
  <w:style w:type="character" w:customStyle="1" w:styleId="29">
    <w:name w:val="标题 2 字符"/>
    <w:basedOn w:val="25"/>
    <w:link w:val="3"/>
    <w:qFormat/>
    <w:uiPriority w:val="9"/>
    <w:rPr>
      <w:rFonts w:eastAsia="仿宋" w:asciiTheme="majorHAnsi" w:hAnsiTheme="majorHAnsi" w:cstheme="majorBidi"/>
      <w:b/>
      <w:kern w:val="2"/>
      <w:sz w:val="32"/>
      <w:szCs w:val="40"/>
    </w:rPr>
  </w:style>
  <w:style w:type="character" w:customStyle="1" w:styleId="30">
    <w:name w:val="标题 3 字符"/>
    <w:basedOn w:val="25"/>
    <w:link w:val="4"/>
    <w:qFormat/>
    <w:uiPriority w:val="9"/>
    <w:rPr>
      <w:rFonts w:eastAsia="仿宋" w:asciiTheme="majorHAnsi" w:hAnsiTheme="majorHAnsi" w:cstheme="majorBidi"/>
      <w:kern w:val="2"/>
      <w:sz w:val="32"/>
      <w:szCs w:val="32"/>
    </w:rPr>
  </w:style>
  <w:style w:type="character" w:customStyle="1" w:styleId="31">
    <w:name w:val="标题 4 字符"/>
    <w:basedOn w:val="25"/>
    <w:link w:val="5"/>
    <w:semiHidden/>
    <w:qFormat/>
    <w:uiPriority w:val="9"/>
    <w:rPr>
      <w:rFonts w:cstheme="majorBidi"/>
      <w:color w:val="104862" w:themeColor="accent1" w:themeShade="BF"/>
      <w:sz w:val="28"/>
      <w:szCs w:val="28"/>
    </w:rPr>
  </w:style>
  <w:style w:type="character" w:customStyle="1" w:styleId="32">
    <w:name w:val="标题 5 字符"/>
    <w:basedOn w:val="25"/>
    <w:link w:val="6"/>
    <w:semiHidden/>
    <w:qFormat/>
    <w:uiPriority w:val="9"/>
    <w:rPr>
      <w:rFonts w:cstheme="majorBidi"/>
      <w:color w:val="104862" w:themeColor="accent1" w:themeShade="BF"/>
      <w:sz w:val="24"/>
      <w:szCs w:val="24"/>
    </w:rPr>
  </w:style>
  <w:style w:type="character" w:customStyle="1" w:styleId="33">
    <w:name w:val="标题 6 字符"/>
    <w:basedOn w:val="25"/>
    <w:link w:val="7"/>
    <w:semiHidden/>
    <w:qFormat/>
    <w:uiPriority w:val="9"/>
    <w:rPr>
      <w:rFonts w:cstheme="majorBidi"/>
      <w:b/>
      <w:bCs/>
      <w:color w:val="104862" w:themeColor="accent1" w:themeShade="BF"/>
    </w:rPr>
  </w:style>
  <w:style w:type="character" w:customStyle="1" w:styleId="34">
    <w:name w:val="标题 7 字符"/>
    <w:basedOn w:val="25"/>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5">
    <w:name w:val="标题 8 字符"/>
    <w:basedOn w:val="25"/>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6">
    <w:name w:val="标题 9 字符"/>
    <w:basedOn w:val="25"/>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7">
    <w:name w:val="标题 字符"/>
    <w:basedOn w:val="25"/>
    <w:link w:val="20"/>
    <w:qFormat/>
    <w:uiPriority w:val="10"/>
    <w:rPr>
      <w:rFonts w:asciiTheme="majorHAnsi" w:hAnsiTheme="majorHAnsi" w:eastAsiaTheme="majorEastAsia" w:cstheme="majorBidi"/>
      <w:spacing w:val="-10"/>
      <w:kern w:val="28"/>
      <w:sz w:val="56"/>
      <w:szCs w:val="56"/>
    </w:rPr>
  </w:style>
  <w:style w:type="character" w:customStyle="1" w:styleId="38">
    <w:name w:val="副标题 字符"/>
    <w:basedOn w:val="25"/>
    <w:link w:val="18"/>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9">
    <w:name w:val="Quote"/>
    <w:basedOn w:val="1"/>
    <w:next w:val="1"/>
    <w:link w:val="4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0">
    <w:name w:val="引用 字符"/>
    <w:basedOn w:val="25"/>
    <w:link w:val="39"/>
    <w:qFormat/>
    <w:uiPriority w:val="29"/>
    <w:rPr>
      <w:i/>
      <w:iCs/>
      <w:color w:val="404040" w:themeColor="text1" w:themeTint="BF"/>
      <w14:textFill>
        <w14:solidFill>
          <w14:schemeClr w14:val="tx1">
            <w14:lumMod w14:val="75000"/>
            <w14:lumOff w14:val="25000"/>
          </w14:schemeClr>
        </w14:solidFill>
      </w14:textFill>
    </w:rPr>
  </w:style>
  <w:style w:type="paragraph" w:styleId="41">
    <w:name w:val="List Paragraph"/>
    <w:basedOn w:val="1"/>
    <w:qFormat/>
    <w:uiPriority w:val="99"/>
    <w:pPr>
      <w:ind w:left="720"/>
      <w:contextualSpacing/>
    </w:pPr>
  </w:style>
  <w:style w:type="character" w:customStyle="1" w:styleId="42">
    <w:name w:val="明显强调1"/>
    <w:basedOn w:val="25"/>
    <w:qFormat/>
    <w:uiPriority w:val="21"/>
    <w:rPr>
      <w:i/>
      <w:iCs/>
      <w:color w:val="104862" w:themeColor="accent1" w:themeShade="BF"/>
    </w:rPr>
  </w:style>
  <w:style w:type="paragraph" w:styleId="43">
    <w:name w:val="Intense Quote"/>
    <w:basedOn w:val="1"/>
    <w:next w:val="1"/>
    <w:link w:val="4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4">
    <w:name w:val="明显引用 字符"/>
    <w:basedOn w:val="25"/>
    <w:link w:val="43"/>
    <w:qFormat/>
    <w:uiPriority w:val="30"/>
    <w:rPr>
      <w:i/>
      <w:iCs/>
      <w:color w:val="104862" w:themeColor="accent1" w:themeShade="BF"/>
    </w:rPr>
  </w:style>
  <w:style w:type="character" w:customStyle="1" w:styleId="45">
    <w:name w:val="明显参考1"/>
    <w:basedOn w:val="25"/>
    <w:qFormat/>
    <w:uiPriority w:val="32"/>
    <w:rPr>
      <w:b/>
      <w:bCs/>
      <w:smallCaps/>
      <w:color w:val="104862" w:themeColor="accent1" w:themeShade="BF"/>
      <w:spacing w:val="5"/>
    </w:rPr>
  </w:style>
  <w:style w:type="character" w:customStyle="1" w:styleId="46">
    <w:name w:val="正文文本 字符"/>
    <w:basedOn w:val="25"/>
    <w:link w:val="12"/>
    <w:semiHidden/>
    <w:qFormat/>
    <w:uiPriority w:val="99"/>
  </w:style>
  <w:style w:type="character" w:customStyle="1" w:styleId="47">
    <w:name w:val="正文文本首行缩进 字符"/>
    <w:basedOn w:val="46"/>
    <w:link w:val="22"/>
    <w:qFormat/>
    <w:uiPriority w:val="0"/>
    <w:rPr>
      <w:rFonts w:ascii="仿宋_GB2312" w:hAnsi="Times New Roman" w:eastAsia="仿宋_GB2312" w:cs="仿宋_GB2312"/>
      <w:sz w:val="32"/>
      <w:szCs w:val="32"/>
    </w:rPr>
  </w:style>
  <w:style w:type="character" w:customStyle="1" w:styleId="48">
    <w:name w:val="页眉 字符"/>
    <w:basedOn w:val="25"/>
    <w:link w:val="16"/>
    <w:qFormat/>
    <w:uiPriority w:val="99"/>
    <w:rPr>
      <w:sz w:val="18"/>
      <w:szCs w:val="18"/>
    </w:rPr>
  </w:style>
  <w:style w:type="character" w:customStyle="1" w:styleId="49">
    <w:name w:val="页脚 字符"/>
    <w:basedOn w:val="25"/>
    <w:link w:val="15"/>
    <w:qFormat/>
    <w:uiPriority w:val="99"/>
    <w:rPr>
      <w:sz w:val="18"/>
      <w:szCs w:val="18"/>
    </w:rPr>
  </w:style>
  <w:style w:type="character" w:customStyle="1" w:styleId="50">
    <w:name w:val="批注文字 字符"/>
    <w:basedOn w:val="25"/>
    <w:link w:val="11"/>
    <w:qFormat/>
    <w:uiPriority w:val="99"/>
  </w:style>
  <w:style w:type="character" w:customStyle="1" w:styleId="51">
    <w:name w:val="批注主题 字符"/>
    <w:basedOn w:val="50"/>
    <w:link w:val="21"/>
    <w:semiHidden/>
    <w:qFormat/>
    <w:uiPriority w:val="99"/>
    <w:rPr>
      <w:b/>
      <w:bCs/>
    </w:rPr>
  </w:style>
  <w:style w:type="paragraph" w:customStyle="1" w:styleId="52">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3">
    <w:name w:val="批注框文本 字符"/>
    <w:basedOn w:val="25"/>
    <w:link w:val="1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tyleName="APA" SelectedStyle="\APASixthEditionOfficeOnline.xsl" Version="6"/>
</file>

<file path=customXml/itemProps1.xml><?xml version="1.0" encoding="utf-8"?>
<ds:datastoreItem xmlns:ds="http://schemas.openxmlformats.org/officeDocument/2006/customXml" ds:itemID="{AA889181-DD3C-47ED-90CB-F5B6A8B46BF9}">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3394</Words>
  <Characters>3598</Characters>
  <Lines>224</Lines>
  <Paragraphs>170</Paragraphs>
  <TotalTime>61</TotalTime>
  <ScaleCrop>false</ScaleCrop>
  <LinksUpToDate>false</LinksUpToDate>
  <CharactersWithSpaces>6822</CharactersWithSpaces>
  <Application>WPS Office_12.1.0.17900_F1E327BC-269C-435d-A152-05C5408002CA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2025-07-04T18:01:00Z</dcterms:created>
  <dc:creator>多 多</dc:creator>
  <cp:lastModifiedBy>李玉琦</cp:lastModifiedBy>
  <dcterms:modified xsi:type="dcterms:W3CDTF">2025-07-25T10:04:53Z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2052-12.1.0.17900</vt:lpwstr>
  </property>
  <property fmtid="{D5CDD505-2E9C-101B-9397-08002B2CF9AE}" pid="3" name="ICV">
    <vt:lpwstr>E6B9648897DF46A2B442615016E9828E_12</vt:lpwstr>
  </property>
</Properties>
</file>