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454FF">
      <w:pPr>
        <w:spacing w:afterLines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343A63B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</w:pPr>
    </w:p>
    <w:p w14:paraId="23C63027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</w:pPr>
    </w:p>
    <w:p w14:paraId="58003345">
      <w:pPr>
        <w:spacing w:afterLines="0" w:line="24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ascii="Times New Roman" w:hAnsi="Times New Roman" w:eastAsia="方正小标宋简体"/>
          <w:sz w:val="44"/>
          <w:szCs w:val="44"/>
          <w:lang w:val="e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年度汽车数据安全管理情况报告</w:t>
      </w:r>
    </w:p>
    <w:p w14:paraId="291DECA2">
      <w:pPr>
        <w:spacing w:afterLines="0" w:line="240" w:lineRule="auto"/>
        <w:ind w:firstLine="0" w:firstLineChars="0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（参考模板）</w:t>
      </w:r>
    </w:p>
    <w:p w14:paraId="6026CF78">
      <w:pPr>
        <w:spacing w:afterLines="0" w:line="24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</w:p>
    <w:p w14:paraId="6F531D49">
      <w:pPr>
        <w:widowControl/>
        <w:spacing w:afterLines="0" w:line="360" w:lineRule="auto"/>
        <w:ind w:firstLine="0" w:firstLineChars="0"/>
        <w:jc w:val="center"/>
        <w:rPr>
          <w:rFonts w:ascii="Times New Roman" w:hAnsi="Times New Roman" w:eastAsia="宋体"/>
          <w:bCs/>
          <w:kern w:val="0"/>
          <w:sz w:val="40"/>
          <w:szCs w:val="40"/>
        </w:rPr>
      </w:pPr>
    </w:p>
    <w:p w14:paraId="6DCE078C">
      <w:pPr>
        <w:widowControl/>
        <w:spacing w:afterLines="0" w:line="360" w:lineRule="auto"/>
        <w:ind w:firstLine="0" w:firstLineChars="0"/>
        <w:jc w:val="left"/>
        <w:rPr>
          <w:rFonts w:ascii="Times New Roman" w:hAnsi="Times New Roman"/>
          <w:bCs/>
          <w:kern w:val="0"/>
          <w:sz w:val="30"/>
          <w:szCs w:val="30"/>
        </w:rPr>
      </w:pPr>
    </w:p>
    <w:p w14:paraId="7964337E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bCs/>
          <w:kern w:val="0"/>
          <w:sz w:val="30"/>
          <w:szCs w:val="30"/>
        </w:rPr>
      </w:pPr>
    </w:p>
    <w:p w14:paraId="6A0A9D84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4080A52F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36625985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6B236F94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1E630C3A">
      <w:pPr>
        <w:widowControl/>
        <w:spacing w:afterLines="0" w:line="360" w:lineRule="auto"/>
        <w:ind w:firstLine="300" w:firstLineChars="0"/>
        <w:jc w:val="left"/>
        <w:rPr>
          <w:rFonts w:ascii="Times New Roman" w:hAnsi="Times New Roman"/>
          <w:kern w:val="0"/>
          <w:sz w:val="30"/>
          <w:szCs w:val="30"/>
        </w:rPr>
      </w:pPr>
    </w:p>
    <w:p w14:paraId="4E97C07C">
      <w:pPr>
        <w:spacing w:afterLines="0" w:line="240" w:lineRule="auto"/>
        <w:ind w:firstLine="1920" w:firstLineChars="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报告单位（盖章）：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38294FCE">
      <w:pPr>
        <w:spacing w:afterLines="0" w:line="240" w:lineRule="auto"/>
        <w:ind w:firstLine="1200" w:firstLineChars="600"/>
        <w:rPr>
          <w:rFonts w:ascii="Times New Roman" w:hAnsi="Times New Roman" w:eastAsia="仿宋_GB2312"/>
          <w:sz w:val="20"/>
          <w:szCs w:val="20"/>
          <w:u w:val="single"/>
        </w:rPr>
      </w:pPr>
    </w:p>
    <w:p w14:paraId="34762907">
      <w:pPr>
        <w:spacing w:afterLines="0" w:line="240" w:lineRule="auto"/>
        <w:ind w:firstLine="1920" w:firstLineChars="6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报  送  日  期 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468C993E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227" w:gutter="0"/>
          <w:pgNumType w:fmt="numberInDash" w:start="1"/>
          <w:cols w:space="720" w:num="1"/>
          <w:docGrid w:type="lines" w:linePitch="326" w:charSpace="0"/>
        </w:sectPr>
      </w:pPr>
    </w:p>
    <w:p w14:paraId="2B11F96C">
      <w:pPr>
        <w:spacing w:after="163"/>
        <w:ind w:firstLine="0" w:firstLineChars="0"/>
        <w:jc w:val="center"/>
        <w:rPr>
          <w:rFonts w:ascii="Times New Roman" w:hAnsi="Times New Roman" w:eastAsia="黑体"/>
          <w:b/>
          <w:sz w:val="36"/>
        </w:rPr>
      </w:pPr>
    </w:p>
    <w:p w14:paraId="459F097D">
      <w:pPr>
        <w:spacing w:after="156" w:line="60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21"/>
          <w:szCs w:val="21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填报说明</w:t>
      </w:r>
    </w:p>
    <w:p w14:paraId="41923454">
      <w:pPr>
        <w:spacing w:afterLines="0" w:line="600" w:lineRule="exact"/>
        <w:ind w:firstLine="64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Hans"/>
        </w:rPr>
        <w:t>一、总体说明</w:t>
      </w:r>
    </w:p>
    <w:p w14:paraId="76EF5E4F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1.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根据《数据安全法》《网络数据安全管理条例》</w:t>
      </w:r>
      <w:r>
        <w:rPr>
          <w:rFonts w:hint="eastAsia" w:ascii="Times New Roman" w:hAnsi="Times New Roman" w:eastAsia="仿宋_GB2312" w:cs="Times New Roman Regular"/>
          <w:sz w:val="32"/>
        </w:rPr>
        <w:t>《汽车数据安全管理若干规定（试行）》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《工业和信息化领域数据安全管理办法（试行）》</w:t>
      </w:r>
      <w:r>
        <w:rPr>
          <w:rFonts w:hint="eastAsia" w:ascii="Times New Roman" w:hAnsi="Times New Roman" w:eastAsia="仿宋_GB2312" w:cs="Times New Roman Regular"/>
          <w:sz w:val="32"/>
        </w:rPr>
        <w:t>等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法律</w:t>
      </w:r>
      <w:r>
        <w:rPr>
          <w:rFonts w:hint="eastAsia" w:ascii="Times New Roman" w:hAnsi="Times New Roman" w:eastAsia="仿宋_GB2312" w:cs="Times New Roman Regular"/>
          <w:sz w:val="32"/>
        </w:rPr>
        <w:t>法规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和政策文件</w:t>
      </w:r>
      <w:r>
        <w:rPr>
          <w:rFonts w:hint="eastAsia" w:ascii="Times New Roman" w:hAnsi="Times New Roman" w:eastAsia="仿宋_GB2312" w:cs="Times New Roman Regular"/>
          <w:sz w:val="32"/>
        </w:rPr>
        <w:t>，以及《信息安全技术 汽车数据处理安全要求》《汽车数据通用要求》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《工业领域重要数据识别指南》《电信领域重要数据识别指南》</w:t>
      </w:r>
      <w:r>
        <w:rPr>
          <w:rFonts w:hint="eastAsia" w:ascii="Times New Roman" w:hAnsi="Times New Roman" w:eastAsia="仿宋_GB2312" w:cs="Times New Roman Regular"/>
          <w:sz w:val="32"/>
        </w:rPr>
        <w:t>等国家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和行业</w:t>
      </w:r>
      <w:r>
        <w:rPr>
          <w:rFonts w:hint="eastAsia" w:ascii="Times New Roman" w:hAnsi="Times New Roman" w:eastAsia="仿宋_GB2312" w:cs="Times New Roman Regular"/>
          <w:sz w:val="32"/>
        </w:rPr>
        <w:t>标准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进行填写</w:t>
      </w:r>
      <w:r>
        <w:rPr>
          <w:rFonts w:hint="eastAsia" w:ascii="Times New Roman" w:hAnsi="Times New Roman" w:eastAsia="仿宋_GB2312" w:cs="Times New Roman Regular"/>
          <w:sz w:val="32"/>
        </w:rPr>
        <w:t>。</w:t>
      </w:r>
    </w:p>
    <w:p w14:paraId="5F4C01B7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 Regular"/>
          <w:sz w:val="32"/>
        </w:rPr>
        <w:t>.未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处理</w:t>
      </w:r>
      <w:r>
        <w:rPr>
          <w:rFonts w:hint="eastAsia" w:ascii="Times New Roman" w:hAnsi="Times New Roman" w:eastAsia="仿宋_GB2312" w:cs="Times New Roman Regular"/>
          <w:sz w:val="32"/>
        </w:rPr>
        <w:t>被相关部门、地区告知或者公开发布为重要数据的，不需要填报。</w:t>
      </w:r>
    </w:p>
    <w:p w14:paraId="0883DF4B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 Regular"/>
          <w:sz w:val="32"/>
        </w:rPr>
        <w:t>.填报材料应客观、真实，不得弄虚作假，不涉及国家秘密，填报单位须对本申报方案内容的真实性负责。</w:t>
      </w:r>
    </w:p>
    <w:p w14:paraId="0CC9921E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  <w:lang w:eastAsia="zh-CN"/>
        </w:rPr>
      </w:pPr>
      <w:r>
        <w:rPr>
          <w:rFonts w:hint="eastAsia" w:ascii="Times New Roman" w:hAnsi="Times New Roman" w:eastAsia="仿宋_GB2312" w:cs="Times New Roman Regular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 Regular"/>
          <w:sz w:val="32"/>
        </w:rPr>
        <w:t>.填报材料须加盖公章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和</w:t>
      </w:r>
      <w:r>
        <w:rPr>
          <w:rFonts w:hint="eastAsia" w:ascii="Times New Roman" w:hAnsi="Times New Roman" w:eastAsia="仿宋_GB2312" w:cs="Times New Roman Regular"/>
          <w:sz w:val="32"/>
        </w:rPr>
        <w:t>骑缝章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，复印无效。报送纸质版两份，电子版一份。</w:t>
      </w:r>
    </w:p>
    <w:p w14:paraId="5A64D509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5.计算现存汽车数据规模时，应覆盖填报时保存的全部汽车数据情况，完整计算各个可访问物理以及虚拟位置的全部汽车数据，也包括委托第三方处理的汽车数据。</w:t>
      </w:r>
    </w:p>
    <w:p w14:paraId="7E5C7EE2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6.本年度是指填报年前一年12月1日至填报年11月30日。</w:t>
      </w:r>
    </w:p>
    <w:p w14:paraId="6839BEED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7.计算汽车数量时，一般计算与本单位业务直接</w:t>
      </w:r>
      <w:r>
        <w:rPr>
          <w:rFonts w:hint="eastAsia" w:ascii="Times New Roman" w:hAnsi="Times New Roman" w:eastAsia="仿宋_GB2312" w:cs="Times New Roman Regular"/>
          <w:sz w:val="32"/>
          <w:lang w:eastAsia="zh-Hans"/>
        </w:rPr>
        <w:t>相关</w:t>
      </w:r>
      <w:r>
        <w:rPr>
          <w:rFonts w:hint="eastAsia" w:ascii="Times New Roman" w:hAnsi="Times New Roman" w:eastAsia="仿宋_GB2312" w:cs="Times New Roman Regular"/>
          <w:sz w:val="32"/>
        </w:rPr>
        <w:t>的汽车数量，只需要统计已出厂</w:t>
      </w:r>
      <w:r>
        <w:rPr>
          <w:rFonts w:hint="eastAsia" w:ascii="Times New Roman" w:hAnsi="Times New Roman" w:eastAsia="仿宋_GB2312" w:cs="Times New Roman Regular"/>
          <w:sz w:val="32"/>
          <w:lang w:eastAsia="zh-Hans"/>
        </w:rPr>
        <w:t>汽车</w:t>
      </w:r>
      <w:r>
        <w:rPr>
          <w:rFonts w:hint="eastAsia" w:ascii="Times New Roman" w:hAnsi="Times New Roman" w:eastAsia="仿宋_GB2312" w:cs="Times New Roman Regular"/>
          <w:sz w:val="32"/>
        </w:rPr>
        <w:t>，未出厂汽车不需要计入。</w:t>
      </w:r>
    </w:p>
    <w:p w14:paraId="0856087F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8.报告中的“用户”指使用本单位所提供的汽车以及汽车相关产品、服务的组织或个人。</w:t>
      </w:r>
    </w:p>
    <w:p w14:paraId="5EC0611B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 Regular"/>
          <w:sz w:val="32"/>
        </w:rPr>
        <w:t>.在多个省份设有分支机构的企业可依据经营方式、业务分布等，自行选择以集团为整体进行填报或者各分支机构分别填报。</w:t>
      </w:r>
    </w:p>
    <w:p w14:paraId="220C5073">
      <w:pPr>
        <w:spacing w:afterLines="0" w:line="600" w:lineRule="exact"/>
        <w:ind w:firstLine="640"/>
        <w:rPr>
          <w:rFonts w:hint="eastAsia" w:ascii="Times New Roman" w:hAnsi="Times New Roman" w:eastAsia="黑体" w:cs="黑体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Hans"/>
        </w:rPr>
        <w:t>二、填报模板各章节说明</w:t>
      </w:r>
    </w:p>
    <w:p w14:paraId="2183F286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“基本情况”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  <w:t>章节</w:t>
      </w:r>
    </w:p>
    <w:p w14:paraId="63B9D4AF">
      <w:pPr>
        <w:spacing w:afterLines="0" w:line="600" w:lineRule="exact"/>
        <w:ind w:firstLine="640"/>
        <w:rPr>
          <w:rFonts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 Regular"/>
          <w:sz w:val="32"/>
        </w:rPr>
        <w:t>“数据处理者分类”中，“出行服务企业”应为通过互联网平台提供出行服务的企业，不包含公交公司、客运公司、出租车公司等传统出行服务企业。</w:t>
      </w:r>
    </w:p>
    <w:p w14:paraId="3333C25B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“涉及汽车数”在统计时应去重</w:t>
      </w:r>
      <w:r>
        <w:rPr>
          <w:rFonts w:ascii="Times New Roman" w:hAnsi="Times New Roman" w:eastAsia="仿宋_GB2312" w:cs="Times New Roman Regular"/>
          <w:sz w:val="32"/>
        </w:rPr>
        <w:t>。</w:t>
      </w:r>
    </w:p>
    <w:p w14:paraId="7E8D95D9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（二）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“</w:t>
      </w:r>
      <w:r>
        <w:rPr>
          <w:rFonts w:hint="eastAsia" w:ascii="Times New Roman" w:hAnsi="Times New Roman" w:eastAsia="楷体"/>
          <w:b/>
          <w:bCs/>
          <w:sz w:val="32"/>
          <w:szCs w:val="32"/>
        </w:rPr>
        <w:t>重要数据处理情况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”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  <w:t>章节</w:t>
      </w:r>
    </w:p>
    <w:p w14:paraId="6581E161">
      <w:pPr>
        <w:spacing w:afterLines="0" w:line="600" w:lineRule="exact"/>
        <w:ind w:firstLine="640"/>
        <w:rPr>
          <w:rFonts w:hint="eastAsia"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数据处理者应当按照相关规定识别、申报重要数据。“数据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类型</w:t>
      </w:r>
      <w:r>
        <w:rPr>
          <w:rFonts w:hint="eastAsia" w:ascii="Times New Roman" w:hAnsi="Times New Roman" w:eastAsia="仿宋_GB2312" w:cs="Times New Roman Regular"/>
          <w:sz w:val="32"/>
        </w:rPr>
        <w:t>”</w:t>
      </w:r>
      <w:r>
        <w:rPr>
          <w:rFonts w:hint="eastAsia" w:ascii="Times New Roman" w:hAnsi="Times New Roman" w:eastAsia="仿宋_GB2312" w:cs="Times New Roman Regular"/>
          <w:sz w:val="32"/>
          <w:lang w:eastAsia="zh-CN"/>
        </w:rPr>
        <w:t>包括“摄像头数据、位置轨迹数据、惯性导航数据、融合计算数据、场景库数据、威胁信息、个人信息、自动驾驶地图数据、构图类数据、远程控制数据、算法数据”</w:t>
      </w:r>
      <w:r>
        <w:rPr>
          <w:rFonts w:hint="eastAsia" w:ascii="Times New Roman" w:hAnsi="Times New Roman" w:eastAsia="仿宋_GB2312" w:cs="Times New Roman Regular"/>
          <w:sz w:val="32"/>
        </w:rPr>
        <w:t>。</w:t>
      </w:r>
    </w:p>
    <w:p w14:paraId="615C0B2F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（三）“个人信息处理情况”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  <w:t>章节</w:t>
      </w:r>
    </w:p>
    <w:p w14:paraId="542F3D3D">
      <w:pPr>
        <w:spacing w:afterLines="0" w:line="600" w:lineRule="exact"/>
        <w:ind w:firstLine="640"/>
        <w:rPr>
          <w:rFonts w:hint="eastAsia" w:ascii="Times New Roman" w:hAnsi="Times New Roman" w:eastAsia="楷体_GB2312" w:cs="楷体_GB2312"/>
          <w:b/>
          <w:bCs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“涉及个人信息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类型</w:t>
      </w:r>
      <w:r>
        <w:rPr>
          <w:rFonts w:hint="eastAsia" w:ascii="Times New Roman" w:hAnsi="Times New Roman" w:eastAsia="仿宋_GB2312"/>
          <w:sz w:val="32"/>
          <w:szCs w:val="32"/>
        </w:rPr>
        <w:t>，包括</w:t>
      </w:r>
      <w:r>
        <w:rPr>
          <w:rFonts w:ascii="Times New Roman" w:hAnsi="Times New Roman" w:eastAsia="仿宋_GB2312"/>
          <w:sz w:val="32"/>
          <w:szCs w:val="32"/>
        </w:rPr>
        <w:t>_____</w:t>
      </w:r>
      <w:r>
        <w:rPr>
          <w:rFonts w:hint="eastAsia" w:ascii="Times New Roman" w:hAnsi="Times New Roman" w:eastAsia="仿宋_GB2312"/>
          <w:sz w:val="32"/>
          <w:szCs w:val="32"/>
        </w:rPr>
        <w:t>等”中的，请列出所有收集存储的个人信息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类型</w:t>
      </w:r>
      <w:r>
        <w:rPr>
          <w:rFonts w:hint="eastAsia" w:ascii="Times New Roman" w:hAnsi="Times New Roman" w:eastAsia="仿宋_GB2312"/>
          <w:sz w:val="32"/>
          <w:szCs w:val="32"/>
        </w:rPr>
        <w:t>，包括但不限于姓名、手机号、车辆识别码（VIN）等。</w:t>
      </w:r>
    </w:p>
    <w:p w14:paraId="2A2087BB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</w:rPr>
        <w:t>（四）“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汽车数据安全防护和管理措施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”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  <w:t>章节</w:t>
      </w:r>
    </w:p>
    <w:p w14:paraId="7DA1409F">
      <w:pPr>
        <w:pStyle w:val="8"/>
        <w:spacing w:afterLines="0" w:line="600" w:lineRule="exact"/>
        <w:ind w:firstLine="640"/>
        <w:rPr>
          <w:rFonts w:ascii="Times New Roman" w:hAnsi="Times New Roman" w:eastAsia="仿宋_GB2312" w:cs="Times New Roman Regular"/>
          <w:sz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“车外人脸信息等匿名化处理”参照GB/T 41871-2022《信息安全技术 汽车数据处理安全要求》中第5章要求，“座舱数据”定义参照该标准第3章内容，“默认不收集座舱数据”参照该标准6.1和6.3款，“座舱数据车内处理”参照该标准6.2款，“处理个人信息的显著告知”参照该标准4.1和4.5款。</w:t>
      </w:r>
    </w:p>
    <w:p w14:paraId="2F12327C">
      <w:pPr>
        <w:spacing w:afterLines="0" w:line="600" w:lineRule="exact"/>
        <w:ind w:firstLine="643"/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</w:rPr>
        <w:t>（五）“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向境外提供重要数据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  <w:t>和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Hans"/>
        </w:rPr>
        <w:t>个人信息情况</w:t>
      </w:r>
      <w:r>
        <w:rPr>
          <w:rFonts w:hint="eastAsia" w:ascii="Times New Roman" w:hAnsi="Times New Roman" w:eastAsia="楷体_GB2312" w:cs="楷体_GB2312"/>
          <w:b/>
          <w:bCs/>
          <w:sz w:val="32"/>
        </w:rPr>
        <w:t>”</w:t>
      </w:r>
      <w:r>
        <w:rPr>
          <w:rFonts w:hint="eastAsia" w:ascii="Times New Roman" w:hAnsi="Times New Roman" w:eastAsia="楷体_GB2312" w:cs="楷体_GB2312"/>
          <w:b/>
          <w:bCs/>
          <w:sz w:val="32"/>
          <w:lang w:eastAsia="zh-CN"/>
        </w:rPr>
        <w:t>章节</w:t>
      </w:r>
    </w:p>
    <w:p w14:paraId="6F53FA06">
      <w:pPr>
        <w:pStyle w:val="8"/>
        <w:spacing w:afterLines="0"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 Regular"/>
          <w:sz w:val="32"/>
        </w:rPr>
        <w:t>“出境方式”包括</w:t>
      </w:r>
      <w:r>
        <w:rPr>
          <w:rFonts w:hint="eastAsia" w:ascii="Times New Roman" w:hAnsi="Times New Roman" w:eastAsia="仿宋_GB2312"/>
          <w:sz w:val="32"/>
          <w:szCs w:val="32"/>
        </w:rPr>
        <w:t>申报数据出境安全评估、订立个人信息出境标准合同、通过个人信息出境认证、免予上述法定程序等。</w:t>
      </w:r>
    </w:p>
    <w:p w14:paraId="268CC6E8">
      <w:pPr>
        <w:widowControl/>
        <w:spacing w:afterLines="0" w:line="360" w:lineRule="auto"/>
        <w:ind w:firstLine="5139" w:firstLineChars="1606"/>
        <w:rPr>
          <w:rFonts w:ascii="Times New Roman" w:hAnsi="Times New Roman" w:eastAsia="仿宋_GB2312"/>
          <w:bCs/>
          <w:kern w:val="0"/>
          <w:sz w:val="32"/>
          <w:szCs w:val="32"/>
        </w:rPr>
      </w:pPr>
    </w:p>
    <w:p w14:paraId="1D0A0C03">
      <w:pPr>
        <w:widowControl/>
        <w:spacing w:afterLines="0" w:line="360" w:lineRule="auto"/>
        <w:ind w:firstLine="5139" w:firstLineChars="1606"/>
        <w:rPr>
          <w:rFonts w:ascii="Times New Roman" w:hAnsi="Times New Roman" w:eastAsia="仿宋_GB2312"/>
          <w:bCs/>
          <w:kern w:val="0"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227" w:gutter="0"/>
          <w:pgNumType w:fmt="numberInDash" w:start="1"/>
          <w:cols w:space="720" w:num="1"/>
          <w:docGrid w:type="lines" w:linePitch="326" w:charSpace="0"/>
        </w:sectPr>
      </w:pPr>
    </w:p>
    <w:p w14:paraId="4F15BD5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0"/>
        <w:rPr>
          <w:rFonts w:ascii="Times New Roman" w:hAnsi="Times New Roman" w:eastAsia="黑体"/>
          <w:bCs/>
          <w:sz w:val="32"/>
          <w:szCs w:val="32"/>
        </w:rPr>
      </w:pPr>
      <w:bookmarkStart w:id="0" w:name="_Toc17397"/>
      <w:bookmarkStart w:id="1" w:name="_Toc16828"/>
      <w:r>
        <w:rPr>
          <w:rFonts w:ascii="Times New Roman" w:hAnsi="Times New Roman" w:eastAsia="黑体"/>
          <w:bCs/>
          <w:sz w:val="32"/>
          <w:szCs w:val="32"/>
          <w:lang w:eastAsia="zh-Hans"/>
        </w:rPr>
        <w:t>一、</w:t>
      </w:r>
      <w:r>
        <w:rPr>
          <w:rFonts w:ascii="Times New Roman" w:hAnsi="Times New Roman" w:eastAsia="黑体"/>
          <w:bCs/>
          <w:sz w:val="32"/>
          <w:szCs w:val="32"/>
        </w:rPr>
        <w:t>基本情况</w:t>
      </w:r>
      <w:bookmarkEnd w:id="0"/>
    </w:p>
    <w:tbl>
      <w:tblPr>
        <w:tblStyle w:val="6"/>
        <w:tblW w:w="851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3"/>
        <w:gridCol w:w="1839"/>
        <w:gridCol w:w="2010"/>
        <w:gridCol w:w="2621"/>
      </w:tblGrid>
      <w:tr w14:paraId="6BA3C6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A063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CA78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C8819C"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B690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统一社会信用</w:t>
            </w:r>
          </w:p>
          <w:p w14:paraId="4CEC24E4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036BB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8916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注册地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8F8D">
            <w:pPr>
              <w:pStyle w:val="9"/>
              <w:snapToGrid w:val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30E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95F4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法定代表人</w:t>
            </w:r>
          </w:p>
          <w:p w14:paraId="1C17545D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B9F5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F948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法定代表人</w:t>
            </w:r>
          </w:p>
          <w:p w14:paraId="6D7356FB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3151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9F61F9">
        <w:trPr>
          <w:trHeight w:val="1062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75CE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数据处理者</w:t>
            </w:r>
          </w:p>
          <w:p w14:paraId="01F003DC">
            <w:pPr>
              <w:pStyle w:val="9"/>
              <w:snapToGrid w:val="0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6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79DB">
            <w:pPr>
              <w:pStyle w:val="9"/>
              <w:snapToGrid w:val="0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汽车制造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□平台运营企业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152CDCAA">
            <w:pPr>
              <w:pStyle w:val="9"/>
              <w:snapToGrid w:val="0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□自动驾驶服务企业        □电信运营企业</w:t>
            </w:r>
          </w:p>
          <w:p w14:paraId="63EFA386">
            <w:pPr>
              <w:pStyle w:val="9"/>
              <w:snapToGrid w:val="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零部件和软件供应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经销商</w:t>
            </w:r>
          </w:p>
          <w:p w14:paraId="78EE9E78">
            <w:pPr>
              <w:pStyle w:val="9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维修机构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出行服务企业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（可多选）</w:t>
            </w:r>
          </w:p>
        </w:tc>
      </w:tr>
      <w:tr w14:paraId="2654F4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C43FE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汽车数据安全管理负责人</w:t>
            </w:r>
          </w:p>
        </w:tc>
      </w:tr>
      <w:tr w14:paraId="75A3483C"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2B66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07A38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D2E8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44F30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F872D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BF306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06E3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EECD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7AF4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2FF268">
        <w:trPr>
          <w:trHeight w:val="850" w:hRule="atLeast"/>
          <w:jc w:val="center"/>
        </w:trPr>
        <w:tc>
          <w:tcPr>
            <w:tcW w:w="8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9FE6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用户权益事务联系人</w:t>
            </w:r>
          </w:p>
        </w:tc>
      </w:tr>
      <w:tr w14:paraId="1F2851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52A9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2429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324F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C781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C38874">
        <w:trPr>
          <w:trHeight w:val="850" w:hRule="atLeast"/>
          <w:jc w:val="center"/>
        </w:trPr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F03F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D1EC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F4AC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8DB3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bookmarkEnd w:id="1"/>
    </w:tbl>
    <w:p w14:paraId="5C3370A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0"/>
        <w:rPr>
          <w:rFonts w:ascii="Times New Roman" w:hAnsi="Times New Roman" w:eastAsia="黑体"/>
          <w:bCs/>
          <w:sz w:val="32"/>
          <w:szCs w:val="32"/>
          <w:lang w:eastAsia="zh-Hans"/>
        </w:rPr>
      </w:pPr>
      <w:bookmarkStart w:id="2" w:name="_Toc32298"/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二、汽车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数据</w:t>
      </w:r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处理基本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情况</w:t>
      </w:r>
      <w:bookmarkEnd w:id="2"/>
    </w:p>
    <w:p w14:paraId="4913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3"/>
        <w:textAlignment w:val="auto"/>
        <w:outlineLvl w:val="9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（一）重要数据处理情况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04"/>
        <w:gridCol w:w="1096"/>
        <w:gridCol w:w="1131"/>
        <w:gridCol w:w="1085"/>
        <w:gridCol w:w="1142"/>
        <w:gridCol w:w="1004"/>
        <w:gridCol w:w="1178"/>
        <w:gridCol w:w="1"/>
      </w:tblGrid>
      <w:tr w14:paraId="1018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3" w:hRule="atLeast"/>
          <w:jc w:val="center"/>
        </w:trPr>
        <w:tc>
          <w:tcPr>
            <w:tcW w:w="879" w:type="dxa"/>
            <w:vMerge w:val="restart"/>
            <w:vAlign w:val="center"/>
          </w:tcPr>
          <w:p w14:paraId="14655B3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004" w:type="dxa"/>
            <w:vMerge w:val="restart"/>
            <w:vAlign w:val="center"/>
          </w:tcPr>
          <w:p w14:paraId="7E13179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2227" w:type="dxa"/>
            <w:gridSpan w:val="2"/>
            <w:vAlign w:val="center"/>
          </w:tcPr>
          <w:p w14:paraId="1C70E5D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现存数据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2227" w:type="dxa"/>
            <w:gridSpan w:val="2"/>
            <w:vAlign w:val="center"/>
          </w:tcPr>
          <w:p w14:paraId="7896675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本年度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数据情况</w:t>
            </w:r>
          </w:p>
        </w:tc>
        <w:tc>
          <w:tcPr>
            <w:tcW w:w="1004" w:type="dxa"/>
            <w:vMerge w:val="restart"/>
            <w:vAlign w:val="center"/>
          </w:tcPr>
          <w:p w14:paraId="25ACD6E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处理</w:t>
            </w:r>
          </w:p>
          <w:p w14:paraId="1208120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目的</w:t>
            </w:r>
          </w:p>
        </w:tc>
        <w:tc>
          <w:tcPr>
            <w:tcW w:w="1178" w:type="dxa"/>
            <w:vAlign w:val="center"/>
          </w:tcPr>
          <w:p w14:paraId="34BF5EC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必要性</w:t>
            </w:r>
          </w:p>
        </w:tc>
      </w:tr>
      <w:tr w14:paraId="68DE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vMerge w:val="continue"/>
            <w:vAlign w:val="center"/>
          </w:tcPr>
          <w:p w14:paraId="05FB546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004" w:type="dxa"/>
            <w:vMerge w:val="continue"/>
            <w:vAlign w:val="center"/>
          </w:tcPr>
          <w:p w14:paraId="479314F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6D2EB28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</w:p>
          <w:p w14:paraId="0121117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GB）</w:t>
            </w:r>
          </w:p>
        </w:tc>
        <w:tc>
          <w:tcPr>
            <w:tcW w:w="1131" w:type="dxa"/>
            <w:vAlign w:val="center"/>
          </w:tcPr>
          <w:p w14:paraId="2BE8325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涉及汽车数量（辆）</w:t>
            </w:r>
          </w:p>
        </w:tc>
        <w:tc>
          <w:tcPr>
            <w:tcW w:w="1085" w:type="dxa"/>
            <w:vAlign w:val="center"/>
          </w:tcPr>
          <w:p w14:paraId="373638C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</w:p>
          <w:p w14:paraId="4AE953F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GB）</w:t>
            </w:r>
          </w:p>
        </w:tc>
        <w:tc>
          <w:tcPr>
            <w:tcW w:w="1142" w:type="dxa"/>
            <w:vAlign w:val="center"/>
          </w:tcPr>
          <w:p w14:paraId="6FAB256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涉及汽车数量（辆）</w:t>
            </w:r>
          </w:p>
        </w:tc>
        <w:tc>
          <w:tcPr>
            <w:tcW w:w="1004" w:type="dxa"/>
            <w:vMerge w:val="continue"/>
            <w:vAlign w:val="center"/>
          </w:tcPr>
          <w:p w14:paraId="5A82477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503019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54CE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vAlign w:val="center"/>
          </w:tcPr>
          <w:p w14:paraId="2FCFCED3">
            <w:pPr>
              <w:snapToGrid w:val="0"/>
              <w:spacing w:afterLines="0" w:line="24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center"/>
          </w:tcPr>
          <w:p w14:paraId="71B86BC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6E63D3E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7B49B4B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511E484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3BCC45C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174DD16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3EBB20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EF2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vAlign w:val="center"/>
          </w:tcPr>
          <w:p w14:paraId="47BFF90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w w:val="90"/>
                <w:sz w:val="28"/>
                <w:szCs w:val="28"/>
              </w:rPr>
              <w:t>…</w:t>
            </w:r>
          </w:p>
        </w:tc>
        <w:tc>
          <w:tcPr>
            <w:tcW w:w="1004" w:type="dxa"/>
            <w:vAlign w:val="center"/>
          </w:tcPr>
          <w:p w14:paraId="3B3D9F9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096" w:type="dxa"/>
            <w:vAlign w:val="center"/>
          </w:tcPr>
          <w:p w14:paraId="2CB8B15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14:paraId="3B4B8A0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 w14:paraId="1B0EC4E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6321CC3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2DDFF95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FA7614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2D0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3"/>
        <w:textAlignment w:val="auto"/>
        <w:outlineLvl w:val="9"/>
        <w:rPr>
          <w:rFonts w:hint="eastAsia" w:ascii="Times New Roman" w:hAnsi="Times New Roman" w:eastAsia="楷体"/>
          <w:b/>
          <w:bCs/>
          <w:sz w:val="32"/>
          <w:szCs w:val="32"/>
        </w:rPr>
      </w:pPr>
      <w:bookmarkStart w:id="3" w:name="_Toc11561"/>
      <w:r>
        <w:rPr>
          <w:rFonts w:hint="eastAsia" w:ascii="Times New Roman" w:hAnsi="Times New Roman" w:eastAsia="楷体"/>
          <w:b/>
          <w:bCs/>
          <w:sz w:val="32"/>
          <w:szCs w:val="32"/>
        </w:rPr>
        <w:t>（二）个人信息处理情况</w:t>
      </w:r>
      <w:bookmarkEnd w:id="3"/>
    </w:p>
    <w:p w14:paraId="16090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目前共收集存储_____人的个人信息，涉及个人信息_____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，包括_________等。其中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包含</w:t>
      </w:r>
      <w:r>
        <w:rPr>
          <w:rFonts w:hint="eastAsia" w:ascii="Times New Roman" w:hAnsi="Times New Roman" w:eastAsia="仿宋_GB2312"/>
          <w:sz w:val="32"/>
          <w:szCs w:val="32"/>
        </w:rPr>
        <w:t>_____人的敏感个人信息，涉及敏感个人信息_____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，包括_________等。</w:t>
      </w:r>
    </w:p>
    <w:p w14:paraId="0AF0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说明收集存储上述每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个人信息的数量、目的和必要性。</w:t>
      </w:r>
      <w:bookmarkStart w:id="4" w:name="_Toc19869"/>
    </w:p>
    <w:p w14:paraId="7A3F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3"/>
        <w:textAlignment w:val="auto"/>
        <w:outlineLvl w:val="9"/>
        <w:rPr>
          <w:rFonts w:hint="eastAsia" w:ascii="Times New Roman" w:hAnsi="Times New Roman" w:eastAsia="楷体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三、汽车数据安全防护和管理措施</w:t>
      </w:r>
      <w:bookmarkEnd w:id="4"/>
    </w:p>
    <w:p w14:paraId="2AC5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3"/>
        <w:textAlignment w:val="auto"/>
        <w:outlineLvl w:val="9"/>
        <w:rPr>
          <w:rFonts w:hint="eastAsia" w:ascii="Times New Roman" w:hAnsi="Times New Roman" w:eastAsia="楷体"/>
          <w:b/>
          <w:bCs/>
          <w:sz w:val="32"/>
          <w:szCs w:val="32"/>
        </w:rPr>
      </w:pPr>
      <w:bookmarkStart w:id="5" w:name="_Toc29846"/>
      <w:r>
        <w:rPr>
          <w:rFonts w:hint="eastAsia" w:ascii="Times New Roman" w:hAnsi="Times New Roman" w:eastAsia="楷体"/>
          <w:b/>
          <w:bCs/>
          <w:sz w:val="32"/>
          <w:szCs w:val="32"/>
        </w:rPr>
        <w:t>（一）汽车重要数据安全防护和管理情况</w:t>
      </w:r>
    </w:p>
    <w:p w14:paraId="2DF6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说明本单位数据安全管理制度、管理机构和人员、内部管理流程等情况。（简述，300字以内）</w:t>
      </w:r>
    </w:p>
    <w:p w14:paraId="6BCD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说明本单位采取的数据全生命周期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安全</w:t>
      </w:r>
      <w:r>
        <w:rPr>
          <w:rFonts w:hint="eastAsia" w:ascii="Times New Roman" w:hAnsi="Times New Roman" w:eastAsia="仿宋_GB2312"/>
          <w:sz w:val="32"/>
          <w:szCs w:val="32"/>
        </w:rPr>
        <w:t>保护措施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、数据保存地点、期限</w:t>
      </w:r>
      <w:r>
        <w:rPr>
          <w:rFonts w:hint="eastAsia" w:ascii="Times New Roman" w:hAnsi="Times New Roman" w:eastAsia="仿宋_GB2312"/>
          <w:sz w:val="32"/>
          <w:szCs w:val="32"/>
        </w:rPr>
        <w:t>等情况。（简述，300字以内）</w:t>
      </w:r>
    </w:p>
    <w:p w14:paraId="7E05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3"/>
        <w:textAlignment w:val="auto"/>
        <w:outlineLvl w:val="9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</w:t>
      </w:r>
      <w:bookmarkStart w:id="6" w:name="_Hlk148285950"/>
      <w:r>
        <w:rPr>
          <w:rFonts w:hint="eastAsia" w:ascii="Times New Roman" w:hAnsi="Times New Roman" w:eastAsia="楷体"/>
          <w:b/>
          <w:bCs/>
          <w:sz w:val="32"/>
          <w:szCs w:val="32"/>
        </w:rPr>
        <w:t>汽车个人信息安全防护和管理措施情况</w:t>
      </w:r>
    </w:p>
    <w:bookmarkEnd w:id="5"/>
    <w:bookmarkEnd w:id="6"/>
    <w:p w14:paraId="14064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涉及车外人脸、车牌信息等匿名化处理的汽车共____辆，已实现匿名化处理______辆。涉及默认不收集座舱数据的汽车共______辆，已实现默认不收集座舱数据____辆。涉及座舱数据车内处理的汽车共______辆，已实现座舱数据车内处理____辆。涉及需要向用户显著告知个人信息处理情况的汽车共______辆，已实现向用户显著告知的汽车____辆。</w:t>
      </w:r>
    </w:p>
    <w:p w14:paraId="3E20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说明尚未实现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上述要求的</w:t>
      </w:r>
      <w:r>
        <w:rPr>
          <w:rFonts w:hint="eastAsia" w:ascii="Times New Roman" w:hAnsi="Times New Roman" w:eastAsia="仿宋_GB2312"/>
          <w:sz w:val="32"/>
          <w:szCs w:val="32"/>
        </w:rPr>
        <w:t>情况，包括涉及车型、功能、原因及整改计划等。</w:t>
      </w:r>
    </w:p>
    <w:p w14:paraId="2D13E819">
      <w:pPr>
        <w:keepNext/>
        <w:keepLines/>
        <w:spacing w:afterLines="0" w:line="240" w:lineRule="auto"/>
        <w:ind w:firstLine="640"/>
        <w:outlineLvl w:val="0"/>
      </w:pPr>
      <w:bookmarkStart w:id="7" w:name="_Toc9415"/>
      <w:r>
        <w:rPr>
          <w:rFonts w:ascii="Times New Roman" w:hAnsi="Times New Roman" w:eastAsia="黑体"/>
          <w:bCs/>
          <w:sz w:val="32"/>
          <w:szCs w:val="32"/>
          <w:lang w:eastAsia="zh-Hans"/>
        </w:rPr>
        <w:t>四、</w:t>
      </w:r>
      <w:r>
        <w:rPr>
          <w:rFonts w:ascii="Times New Roman" w:hAnsi="Times New Roman" w:eastAsia="黑体"/>
          <w:bCs/>
          <w:sz w:val="32"/>
          <w:szCs w:val="32"/>
        </w:rPr>
        <w:t>向境内第三方提供汽车数据情况</w:t>
      </w:r>
      <w:bookmarkEnd w:id="7"/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11"/>
        <w:gridCol w:w="1209"/>
        <w:gridCol w:w="1210"/>
        <w:gridCol w:w="1863"/>
        <w:gridCol w:w="1864"/>
      </w:tblGrid>
      <w:tr w14:paraId="7025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 w14:paraId="6B2F94F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511" w:type="dxa"/>
            <w:vAlign w:val="center"/>
          </w:tcPr>
          <w:p w14:paraId="3D9BDEC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1209" w:type="dxa"/>
            <w:vAlign w:val="center"/>
          </w:tcPr>
          <w:p w14:paraId="1CB3C1A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</w:p>
          <w:p w14:paraId="4B2454A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210" w:type="dxa"/>
            <w:vAlign w:val="center"/>
          </w:tcPr>
          <w:p w14:paraId="1C99725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规模（GB）</w:t>
            </w:r>
          </w:p>
        </w:tc>
        <w:tc>
          <w:tcPr>
            <w:tcW w:w="1863" w:type="dxa"/>
            <w:vAlign w:val="center"/>
          </w:tcPr>
          <w:p w14:paraId="3459EC6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目的</w:t>
            </w:r>
          </w:p>
        </w:tc>
        <w:tc>
          <w:tcPr>
            <w:tcW w:w="1864" w:type="dxa"/>
            <w:vAlign w:val="center"/>
          </w:tcPr>
          <w:p w14:paraId="2C362CD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防护措施</w:t>
            </w:r>
          </w:p>
        </w:tc>
      </w:tr>
      <w:tr w14:paraId="3C06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 w14:paraId="5527857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511" w:type="dxa"/>
            <w:vAlign w:val="center"/>
          </w:tcPr>
          <w:p w14:paraId="482AC85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09" w:type="dxa"/>
            <w:vAlign w:val="center"/>
          </w:tcPr>
          <w:p w14:paraId="0EAABD0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14:paraId="32B25FC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3" w:type="dxa"/>
            <w:vAlign w:val="center"/>
          </w:tcPr>
          <w:p w14:paraId="7DA9FA9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4" w:type="dxa"/>
            <w:vAlign w:val="center"/>
          </w:tcPr>
          <w:p w14:paraId="7B9534E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7FD5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 w14:paraId="29F81AE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bookmarkStart w:id="8" w:name="_Toc2087"/>
            <w:r>
              <w:rPr>
                <w:rFonts w:ascii="Times New Roman" w:hAnsi="Times New Roman" w:eastAsia="仿宋_GB2312"/>
                <w:sz w:val="28"/>
                <w:szCs w:val="28"/>
              </w:rPr>
              <w:t>…</w:t>
            </w:r>
          </w:p>
        </w:tc>
        <w:tc>
          <w:tcPr>
            <w:tcW w:w="1511" w:type="dxa"/>
            <w:vAlign w:val="center"/>
          </w:tcPr>
          <w:p w14:paraId="75D41AE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09" w:type="dxa"/>
            <w:vAlign w:val="center"/>
          </w:tcPr>
          <w:p w14:paraId="7198C9A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14:paraId="0232A71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3" w:type="dxa"/>
            <w:vAlign w:val="center"/>
          </w:tcPr>
          <w:p w14:paraId="26A731D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864" w:type="dxa"/>
            <w:vAlign w:val="center"/>
          </w:tcPr>
          <w:p w14:paraId="1824088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bookmarkEnd w:id="8"/>
    </w:tbl>
    <w:p w14:paraId="741886D8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bCs/>
          <w:sz w:val="32"/>
          <w:szCs w:val="32"/>
        </w:rPr>
        <w:t>安全事件及用户投诉处置情况</w:t>
      </w:r>
    </w:p>
    <w:p w14:paraId="73FC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3"/>
        <w:textAlignment w:val="auto"/>
        <w:outlineLvl w:val="9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（一）汽车数据安全事件和处置情况</w:t>
      </w:r>
    </w:p>
    <w:p w14:paraId="604E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lang w:eastAsia="zh-Hans"/>
        </w:rPr>
        <w:t>本年度共发生数据安全事件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起，其中涉及重要数据的事件共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起，涉及个人信息的事件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起，共处置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起，其中发生较大及以上数据安全事件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34"/>
        <w:gridCol w:w="922"/>
        <w:gridCol w:w="922"/>
        <w:gridCol w:w="1983"/>
        <w:gridCol w:w="2033"/>
      </w:tblGrid>
      <w:tr w14:paraId="3DBF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vAlign w:val="center"/>
          </w:tcPr>
          <w:p w14:paraId="0DED8390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834" w:type="dxa"/>
            <w:vAlign w:val="center"/>
          </w:tcPr>
          <w:p w14:paraId="773CE41D">
            <w:pPr>
              <w:pStyle w:val="9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发生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922" w:type="dxa"/>
            <w:vAlign w:val="center"/>
          </w:tcPr>
          <w:p w14:paraId="47F64F6D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事件类型</w:t>
            </w:r>
          </w:p>
        </w:tc>
        <w:tc>
          <w:tcPr>
            <w:tcW w:w="922" w:type="dxa"/>
            <w:vAlign w:val="center"/>
          </w:tcPr>
          <w:p w14:paraId="556F8F00">
            <w:pPr>
              <w:pStyle w:val="9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事件级别</w:t>
            </w:r>
          </w:p>
        </w:tc>
        <w:tc>
          <w:tcPr>
            <w:tcW w:w="1983" w:type="dxa"/>
            <w:vAlign w:val="center"/>
          </w:tcPr>
          <w:p w14:paraId="2FE4C0A4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事件描述</w:t>
            </w:r>
          </w:p>
        </w:tc>
        <w:tc>
          <w:tcPr>
            <w:tcW w:w="2033" w:type="dxa"/>
            <w:vAlign w:val="center"/>
          </w:tcPr>
          <w:p w14:paraId="10949AE5">
            <w:pPr>
              <w:pStyle w:val="9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事件处置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14:paraId="28B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vAlign w:val="center"/>
          </w:tcPr>
          <w:p w14:paraId="7D7D264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834" w:type="dxa"/>
            <w:vAlign w:val="center"/>
          </w:tcPr>
          <w:p w14:paraId="709CE465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vAlign w:val="center"/>
          </w:tcPr>
          <w:p w14:paraId="0BE7A4A6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vAlign w:val="center"/>
          </w:tcPr>
          <w:p w14:paraId="3EE6DA85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  <w:vAlign w:val="center"/>
          </w:tcPr>
          <w:p w14:paraId="091D260D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2033" w:type="dxa"/>
            <w:vAlign w:val="center"/>
          </w:tcPr>
          <w:p w14:paraId="5EAC0760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0D1C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vAlign w:val="center"/>
          </w:tcPr>
          <w:p w14:paraId="2D7E462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…</w:t>
            </w:r>
          </w:p>
        </w:tc>
        <w:tc>
          <w:tcPr>
            <w:tcW w:w="1834" w:type="dxa"/>
            <w:vAlign w:val="center"/>
          </w:tcPr>
          <w:p w14:paraId="1FE9969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vAlign w:val="center"/>
          </w:tcPr>
          <w:p w14:paraId="5BD12C3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22" w:type="dxa"/>
            <w:vAlign w:val="center"/>
          </w:tcPr>
          <w:p w14:paraId="3603DAF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83" w:type="dxa"/>
            <w:vAlign w:val="center"/>
          </w:tcPr>
          <w:p w14:paraId="4909AE4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2033" w:type="dxa"/>
            <w:vAlign w:val="center"/>
          </w:tcPr>
          <w:p w14:paraId="41C69C6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</w:tbl>
    <w:p w14:paraId="2B373C8A">
      <w:pPr>
        <w:pStyle w:val="2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0" w:line="240" w:lineRule="auto"/>
        <w:ind w:firstLine="643" w:firstLineChars="200"/>
        <w:textAlignment w:val="auto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（二）汽车数据</w:t>
      </w:r>
      <w:r>
        <w:rPr>
          <w:rFonts w:hint="eastAsia" w:ascii="Times New Roman" w:hAnsi="Times New Roman" w:eastAsia="楷体"/>
          <w:sz w:val="32"/>
          <w:szCs w:val="32"/>
        </w:rPr>
        <w:t>相关用户</w:t>
      </w:r>
      <w:r>
        <w:rPr>
          <w:rFonts w:ascii="Times New Roman" w:hAnsi="Times New Roman" w:eastAsia="楷体"/>
          <w:sz w:val="32"/>
          <w:szCs w:val="32"/>
        </w:rPr>
        <w:t>投诉和处理情况</w:t>
      </w:r>
    </w:p>
    <w:p w14:paraId="50C7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  <w:rPr>
          <w:rFonts w:ascii="Times New Roman" w:hAnsi="Times New Roman" w:eastAsia="仿宋_GB2312"/>
          <w:sz w:val="32"/>
          <w:szCs w:val="32"/>
          <w:lang w:eastAsia="zh-Hans"/>
        </w:rPr>
      </w:pPr>
      <w:r>
        <w:rPr>
          <w:rFonts w:ascii="Times New Roman" w:hAnsi="Times New Roman" w:eastAsia="仿宋_GB2312"/>
          <w:sz w:val="32"/>
          <w:szCs w:val="32"/>
          <w:lang w:eastAsia="zh-Hans"/>
        </w:rPr>
        <w:t>本年度共发生</w:t>
      </w:r>
      <w:r>
        <w:rPr>
          <w:rFonts w:hint="eastAsia" w:ascii="Times New Roman" w:hAnsi="Times New Roman" w:eastAsia="仿宋_GB2312"/>
          <w:sz w:val="32"/>
          <w:szCs w:val="32"/>
        </w:rPr>
        <w:t>汽车数据相关用户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投诉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起，处理完成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起，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说明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最常</w:t>
      </w:r>
      <w:r>
        <w:rPr>
          <w:rFonts w:hint="eastAsia" w:ascii="Times New Roman" w:hAnsi="Times New Roman" w:eastAsia="仿宋_GB2312"/>
          <w:sz w:val="32"/>
          <w:szCs w:val="32"/>
        </w:rPr>
        <w:t>见</w:t>
      </w:r>
      <w:r>
        <w:rPr>
          <w:rFonts w:ascii="Times New Roman" w:hAnsi="Times New Roman" w:eastAsia="仿宋_GB2312"/>
          <w:sz w:val="32"/>
          <w:szCs w:val="32"/>
          <w:lang w:eastAsia="zh-Hans"/>
        </w:rPr>
        <w:t>被投诉的3类问题。</w:t>
      </w: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12"/>
        <w:gridCol w:w="1913"/>
        <w:gridCol w:w="1912"/>
        <w:gridCol w:w="1914"/>
      </w:tblGrid>
      <w:tr w14:paraId="6DEA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Align w:val="center"/>
          </w:tcPr>
          <w:p w14:paraId="3C377668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912" w:type="dxa"/>
            <w:vAlign w:val="center"/>
          </w:tcPr>
          <w:p w14:paraId="4E2925E7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投诉问题</w:t>
            </w:r>
          </w:p>
        </w:tc>
        <w:tc>
          <w:tcPr>
            <w:tcW w:w="1913" w:type="dxa"/>
            <w:vAlign w:val="center"/>
          </w:tcPr>
          <w:p w14:paraId="2B698C5A">
            <w:pPr>
              <w:pStyle w:val="9"/>
              <w:snapToGrid w:val="0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涉及数据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912" w:type="dxa"/>
            <w:vAlign w:val="center"/>
          </w:tcPr>
          <w:p w14:paraId="5147745B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投诉次数</w:t>
            </w:r>
          </w:p>
        </w:tc>
        <w:tc>
          <w:tcPr>
            <w:tcW w:w="1914" w:type="dxa"/>
            <w:vAlign w:val="center"/>
          </w:tcPr>
          <w:p w14:paraId="624B5098">
            <w:pPr>
              <w:pStyle w:val="9"/>
              <w:snapToGrid w:val="0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eastAsia="zh-Hans"/>
              </w:rPr>
              <w:t>处理方式</w:t>
            </w:r>
          </w:p>
        </w:tc>
      </w:tr>
      <w:tr w14:paraId="64A6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Align w:val="center"/>
          </w:tcPr>
          <w:p w14:paraId="4878372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912" w:type="dxa"/>
            <w:vAlign w:val="center"/>
          </w:tcPr>
          <w:p w14:paraId="0F661077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vAlign w:val="center"/>
          </w:tcPr>
          <w:p w14:paraId="7D6E0870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vAlign w:val="center"/>
          </w:tcPr>
          <w:p w14:paraId="4685FEED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vAlign w:val="center"/>
          </w:tcPr>
          <w:p w14:paraId="7145F877">
            <w:pPr>
              <w:pStyle w:val="9"/>
              <w:snapToGrid w:val="0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04E3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Align w:val="center"/>
          </w:tcPr>
          <w:p w14:paraId="3FD4B44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1912" w:type="dxa"/>
            <w:vAlign w:val="center"/>
          </w:tcPr>
          <w:p w14:paraId="6CB8C41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vAlign w:val="center"/>
          </w:tcPr>
          <w:p w14:paraId="7C36FA7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vAlign w:val="center"/>
          </w:tcPr>
          <w:p w14:paraId="38AA4BB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vAlign w:val="center"/>
          </w:tcPr>
          <w:p w14:paraId="7ED44B2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07AD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Align w:val="center"/>
          </w:tcPr>
          <w:p w14:paraId="62AC966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1912" w:type="dxa"/>
            <w:vAlign w:val="center"/>
          </w:tcPr>
          <w:p w14:paraId="12A0345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3" w:type="dxa"/>
            <w:vAlign w:val="center"/>
          </w:tcPr>
          <w:p w14:paraId="6258E35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2" w:type="dxa"/>
            <w:vAlign w:val="center"/>
          </w:tcPr>
          <w:p w14:paraId="7C467C4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14" w:type="dxa"/>
            <w:vAlign w:val="center"/>
          </w:tcPr>
          <w:p w14:paraId="48EA072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</w:tbl>
    <w:p w14:paraId="1660EE4B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0"/>
        <w:rPr>
          <w:rFonts w:ascii="Times New Roman" w:hAnsi="Times New Roman" w:eastAsia="黑体"/>
          <w:bCs/>
          <w:sz w:val="32"/>
          <w:szCs w:val="32"/>
          <w:lang w:eastAsia="zh-Hans"/>
        </w:rPr>
      </w:pPr>
      <w:bookmarkStart w:id="9" w:name="_Toc15104"/>
      <w:r>
        <w:rPr>
          <w:rFonts w:hint="eastAsia" w:ascii="Times New Roman" w:hAnsi="Times New Roman" w:eastAsia="黑体"/>
          <w:bCs/>
          <w:sz w:val="32"/>
          <w:szCs w:val="32"/>
        </w:rPr>
        <w:t>六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、向境外提供</w:t>
      </w:r>
      <w:r>
        <w:rPr>
          <w:rFonts w:hint="eastAsia" w:ascii="Times New Roman" w:hAnsi="Times New Roman" w:eastAsia="黑体"/>
          <w:bCs/>
          <w:sz w:val="32"/>
          <w:szCs w:val="32"/>
          <w:lang w:eastAsia="zh-Hans"/>
        </w:rPr>
        <w:t>重要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数据</w:t>
      </w:r>
      <w:r>
        <w:rPr>
          <w:rFonts w:hint="eastAsia" w:ascii="Times New Roman" w:hAnsi="Times New Roman" w:eastAsia="黑体"/>
          <w:bCs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黑体"/>
          <w:bCs/>
          <w:sz w:val="32"/>
          <w:szCs w:val="32"/>
        </w:rPr>
        <w:t>个人信息</w:t>
      </w:r>
      <w:r>
        <w:rPr>
          <w:rFonts w:ascii="Times New Roman" w:hAnsi="Times New Roman" w:eastAsia="黑体"/>
          <w:bCs/>
          <w:sz w:val="32"/>
          <w:szCs w:val="32"/>
          <w:lang w:eastAsia="zh-Hans"/>
        </w:rPr>
        <w:t>情况</w:t>
      </w:r>
      <w:bookmarkEnd w:id="9"/>
    </w:p>
    <w:p w14:paraId="45F2D777">
      <w:pPr>
        <w:pStyle w:val="2"/>
        <w:keepNext/>
        <w:keepLines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240" w:lineRule="auto"/>
        <w:ind w:firstLine="643" w:firstLineChars="200"/>
        <w:textAlignment w:val="auto"/>
        <w:outlineLvl w:val="1"/>
        <w:rPr>
          <w:rFonts w:ascii="Times New Roman" w:hAnsi="Times New Roman" w:eastAsia="楷体"/>
          <w:sz w:val="32"/>
          <w:szCs w:val="32"/>
        </w:rPr>
      </w:pPr>
      <w:bookmarkStart w:id="10" w:name="_Toc10533"/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一</w:t>
      </w:r>
      <w:r>
        <w:rPr>
          <w:rFonts w:ascii="Times New Roman" w:hAnsi="Times New Roman" w:eastAsia="楷体"/>
          <w:sz w:val="32"/>
          <w:szCs w:val="32"/>
        </w:rPr>
        <w:t>）</w:t>
      </w:r>
      <w:r>
        <w:rPr>
          <w:rFonts w:hint="eastAsia" w:ascii="Times New Roman" w:hAnsi="Times New Roman" w:eastAsia="楷体"/>
          <w:sz w:val="32"/>
          <w:szCs w:val="32"/>
        </w:rPr>
        <w:t>向境外提供重要数据情况</w:t>
      </w:r>
      <w:bookmarkEnd w:id="10"/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12"/>
        <w:gridCol w:w="897"/>
        <w:gridCol w:w="843"/>
        <w:gridCol w:w="843"/>
        <w:gridCol w:w="847"/>
        <w:gridCol w:w="1183"/>
        <w:gridCol w:w="1688"/>
        <w:gridCol w:w="900"/>
      </w:tblGrid>
      <w:tr w14:paraId="7169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6" w:type="dxa"/>
            <w:vAlign w:val="center"/>
          </w:tcPr>
          <w:p w14:paraId="474709E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712" w:type="dxa"/>
            <w:vAlign w:val="center"/>
          </w:tcPr>
          <w:p w14:paraId="3D4EE09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897" w:type="dxa"/>
            <w:vAlign w:val="center"/>
          </w:tcPr>
          <w:p w14:paraId="18DF147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目的国家地区</w:t>
            </w:r>
          </w:p>
        </w:tc>
        <w:tc>
          <w:tcPr>
            <w:tcW w:w="843" w:type="dxa"/>
            <w:vAlign w:val="center"/>
          </w:tcPr>
          <w:p w14:paraId="7932F7F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接收方名称</w:t>
            </w:r>
          </w:p>
        </w:tc>
        <w:tc>
          <w:tcPr>
            <w:tcW w:w="843" w:type="dxa"/>
            <w:vAlign w:val="center"/>
          </w:tcPr>
          <w:p w14:paraId="67E18F89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数据出境目的</w:t>
            </w:r>
          </w:p>
        </w:tc>
        <w:tc>
          <w:tcPr>
            <w:tcW w:w="847" w:type="dxa"/>
            <w:vAlign w:val="center"/>
          </w:tcPr>
          <w:p w14:paraId="674C8D4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数据出境期限</w:t>
            </w:r>
          </w:p>
        </w:tc>
        <w:tc>
          <w:tcPr>
            <w:tcW w:w="1183" w:type="dxa"/>
            <w:vAlign w:val="center"/>
          </w:tcPr>
          <w:p w14:paraId="172FD7B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出境数据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规模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（GB）</w:t>
            </w:r>
          </w:p>
        </w:tc>
        <w:tc>
          <w:tcPr>
            <w:tcW w:w="1688" w:type="dxa"/>
            <w:vAlign w:val="center"/>
          </w:tcPr>
          <w:p w14:paraId="102C3E2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境外接收方的网络系统域名或网络IP地址</w:t>
            </w:r>
          </w:p>
        </w:tc>
        <w:tc>
          <w:tcPr>
            <w:tcW w:w="900" w:type="dxa"/>
            <w:vAlign w:val="center"/>
          </w:tcPr>
          <w:p w14:paraId="7F637D3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通过出境评估时间</w:t>
            </w:r>
          </w:p>
        </w:tc>
      </w:tr>
      <w:tr w14:paraId="00F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atLeast"/>
          <w:jc w:val="center"/>
        </w:trPr>
        <w:tc>
          <w:tcPr>
            <w:tcW w:w="606" w:type="dxa"/>
            <w:vAlign w:val="center"/>
          </w:tcPr>
          <w:p w14:paraId="08FBA2E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712" w:type="dxa"/>
            <w:vAlign w:val="top"/>
          </w:tcPr>
          <w:p w14:paraId="2539F08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7CD542F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vAlign w:val="center"/>
          </w:tcPr>
          <w:p w14:paraId="21A8B33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vAlign w:val="center"/>
          </w:tcPr>
          <w:p w14:paraId="6964782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7" w:type="dxa"/>
            <w:vAlign w:val="center"/>
          </w:tcPr>
          <w:p w14:paraId="1DD8FE7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183" w:type="dxa"/>
            <w:vAlign w:val="center"/>
          </w:tcPr>
          <w:p w14:paraId="7955A77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688" w:type="dxa"/>
            <w:vAlign w:val="center"/>
          </w:tcPr>
          <w:p w14:paraId="3FBE066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00" w:type="dxa"/>
            <w:vAlign w:val="center"/>
          </w:tcPr>
          <w:p w14:paraId="0C203187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393B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6" w:type="dxa"/>
            <w:vAlign w:val="top"/>
          </w:tcPr>
          <w:p w14:paraId="29C7A53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 Regular"/>
                <w:sz w:val="28"/>
                <w:szCs w:val="28"/>
              </w:rPr>
              <w:t>...</w:t>
            </w:r>
          </w:p>
        </w:tc>
        <w:tc>
          <w:tcPr>
            <w:tcW w:w="712" w:type="dxa"/>
            <w:vAlign w:val="top"/>
          </w:tcPr>
          <w:p w14:paraId="6FDE23F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7315D8EA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0DB93CA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121A213D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05E02A6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14:paraId="0C51575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27ACB913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1A53A8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23BA1D0">
      <w:pPr>
        <w:pStyle w:val="2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textAlignment w:val="auto"/>
        <w:rPr>
          <w:rFonts w:ascii="Times New Roman" w:hAnsi="Times New Roman" w:eastAsia="楷体"/>
          <w:sz w:val="32"/>
          <w:szCs w:val="32"/>
        </w:rPr>
      </w:pPr>
      <w:bookmarkStart w:id="11" w:name="_Toc32296"/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二</w:t>
      </w:r>
      <w:r>
        <w:rPr>
          <w:rFonts w:ascii="Times New Roman" w:hAnsi="Times New Roman" w:eastAsia="楷体"/>
          <w:sz w:val="32"/>
          <w:szCs w:val="32"/>
        </w:rPr>
        <w:t>）</w:t>
      </w:r>
      <w:r>
        <w:rPr>
          <w:rFonts w:hint="eastAsia" w:ascii="Times New Roman" w:hAnsi="Times New Roman" w:eastAsia="楷体"/>
          <w:sz w:val="32"/>
          <w:szCs w:val="32"/>
        </w:rPr>
        <w:t>向境外提供个人信息情况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73"/>
        <w:gridCol w:w="845"/>
        <w:gridCol w:w="843"/>
        <w:gridCol w:w="843"/>
        <w:gridCol w:w="847"/>
        <w:gridCol w:w="1182"/>
        <w:gridCol w:w="1688"/>
        <w:gridCol w:w="898"/>
      </w:tblGrid>
      <w:tr w14:paraId="688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" w:type="dxa"/>
            <w:vAlign w:val="center"/>
          </w:tcPr>
          <w:p w14:paraId="28A2B1F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873" w:type="dxa"/>
            <w:vAlign w:val="center"/>
          </w:tcPr>
          <w:p w14:paraId="13F8FB35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个人信息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845" w:type="dxa"/>
            <w:vAlign w:val="center"/>
          </w:tcPr>
          <w:p w14:paraId="1A7D389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目的国家地区</w:t>
            </w:r>
          </w:p>
        </w:tc>
        <w:tc>
          <w:tcPr>
            <w:tcW w:w="843" w:type="dxa"/>
            <w:vAlign w:val="center"/>
          </w:tcPr>
          <w:p w14:paraId="6A8E865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接收方名称</w:t>
            </w:r>
          </w:p>
        </w:tc>
        <w:tc>
          <w:tcPr>
            <w:tcW w:w="843" w:type="dxa"/>
            <w:vAlign w:val="center"/>
          </w:tcPr>
          <w:p w14:paraId="429C8E0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数据出境目的</w:t>
            </w:r>
          </w:p>
        </w:tc>
        <w:tc>
          <w:tcPr>
            <w:tcW w:w="847" w:type="dxa"/>
            <w:vAlign w:val="center"/>
          </w:tcPr>
          <w:p w14:paraId="48880AE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数据出境期限</w:t>
            </w:r>
          </w:p>
        </w:tc>
        <w:tc>
          <w:tcPr>
            <w:tcW w:w="1182" w:type="dxa"/>
            <w:vAlign w:val="center"/>
          </w:tcPr>
          <w:p w14:paraId="357EE8D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年度出境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个人信息数量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人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1688" w:type="dxa"/>
            <w:vAlign w:val="center"/>
          </w:tcPr>
          <w:p w14:paraId="19B46D3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境外接收方的网络系统域名或网络IP地址</w:t>
            </w:r>
          </w:p>
        </w:tc>
        <w:tc>
          <w:tcPr>
            <w:tcW w:w="898" w:type="dxa"/>
            <w:vAlign w:val="center"/>
          </w:tcPr>
          <w:p w14:paraId="2C9255D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出境方式</w:t>
            </w:r>
          </w:p>
        </w:tc>
      </w:tr>
      <w:tr w14:paraId="66D5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" w:type="dxa"/>
            <w:vAlign w:val="center"/>
          </w:tcPr>
          <w:p w14:paraId="351FAB9F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873" w:type="dxa"/>
            <w:vAlign w:val="top"/>
          </w:tcPr>
          <w:p w14:paraId="5CBB82B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08D78D3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vAlign w:val="center"/>
          </w:tcPr>
          <w:p w14:paraId="25675320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vAlign w:val="center"/>
          </w:tcPr>
          <w:p w14:paraId="17C3D4B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7" w:type="dxa"/>
            <w:vAlign w:val="center"/>
          </w:tcPr>
          <w:p w14:paraId="48DCDC6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182" w:type="dxa"/>
            <w:vAlign w:val="center"/>
          </w:tcPr>
          <w:p w14:paraId="307AACA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688" w:type="dxa"/>
            <w:vAlign w:val="center"/>
          </w:tcPr>
          <w:p w14:paraId="5FFF0C62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98" w:type="dxa"/>
            <w:vAlign w:val="center"/>
          </w:tcPr>
          <w:p w14:paraId="747D935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tr w14:paraId="6D0C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" w:type="dxa"/>
            <w:vAlign w:val="top"/>
          </w:tcPr>
          <w:p w14:paraId="5FA65128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 Regular"/>
                <w:sz w:val="28"/>
                <w:szCs w:val="28"/>
              </w:rPr>
              <w:t>...</w:t>
            </w:r>
          </w:p>
        </w:tc>
        <w:tc>
          <w:tcPr>
            <w:tcW w:w="873" w:type="dxa"/>
            <w:vAlign w:val="top"/>
          </w:tcPr>
          <w:p w14:paraId="09A1795B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14:paraId="3E5817EC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vAlign w:val="center"/>
          </w:tcPr>
          <w:p w14:paraId="1DAB8D4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3" w:type="dxa"/>
            <w:vAlign w:val="center"/>
          </w:tcPr>
          <w:p w14:paraId="7909D151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47" w:type="dxa"/>
            <w:vAlign w:val="center"/>
          </w:tcPr>
          <w:p w14:paraId="2F92606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182" w:type="dxa"/>
            <w:vAlign w:val="center"/>
          </w:tcPr>
          <w:p w14:paraId="310030FE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688" w:type="dxa"/>
            <w:vAlign w:val="center"/>
          </w:tcPr>
          <w:p w14:paraId="6408D4E6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898" w:type="dxa"/>
            <w:vAlign w:val="center"/>
          </w:tcPr>
          <w:p w14:paraId="047A3D34">
            <w:pPr>
              <w:snapToGrid w:val="0"/>
              <w:spacing w:afterLines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Hans"/>
              </w:rPr>
            </w:pPr>
          </w:p>
        </w:tc>
      </w:tr>
      <w:bookmarkEnd w:id="11"/>
    </w:tbl>
    <w:p w14:paraId="094AB31C">
      <w:pPr>
        <w:keepNext/>
        <w:keepLines/>
        <w:spacing w:afterLines="0" w:line="240" w:lineRule="auto"/>
        <w:ind w:firstLine="640"/>
        <w:outlineLvl w:val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七、其他需要补充情况</w:t>
      </w:r>
    </w:p>
    <w:p w14:paraId="6D4D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640"/>
        <w:textAlignment w:val="auto"/>
        <w:outlineLvl w:val="9"/>
      </w:pPr>
      <w:r>
        <w:rPr>
          <w:rFonts w:ascii="Times New Roman" w:hAnsi="Times New Roman" w:eastAsia="仿宋_GB2312"/>
          <w:sz w:val="32"/>
          <w:szCs w:val="32"/>
        </w:rPr>
        <w:t>请说明</w:t>
      </w:r>
      <w:r>
        <w:rPr>
          <w:rFonts w:hint="eastAsia" w:ascii="Times New Roman" w:hAnsi="Times New Roman" w:eastAsia="仿宋_GB2312"/>
          <w:sz w:val="32"/>
          <w:szCs w:val="32"/>
        </w:rPr>
        <w:t>需要补充的其他情况</w:t>
      </w:r>
      <w:r>
        <w:rPr>
          <w:rFonts w:ascii="Times New Roman" w:hAnsi="Times New Roman" w:eastAsia="仿宋_GB2312"/>
          <w:sz w:val="32"/>
          <w:szCs w:val="32"/>
        </w:rPr>
        <w:t>。</w:t>
      </w:r>
      <w:bookmarkStart w:id="12" w:name="_GoBack"/>
      <w:bookmarkEnd w:id="12"/>
    </w:p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9951">
    <w:pPr>
      <w:spacing w:afterLines="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B6C8A">
    <w:pPr>
      <w:pStyle w:val="4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1A3D">
    <w:pPr>
      <w:pStyle w:val="4"/>
      <w:spacing w:after="1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71337">
    <w:pPr>
      <w:spacing w:afterLines="0"/>
      <w:ind w:firstLine="0" w:firstLineChars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-428625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DC1B44">
                          <w:pPr>
                            <w:pStyle w:val="4"/>
                            <w:spacing w:afterLines="0"/>
                            <w:ind w:firstLine="0" w:firstLineChars="0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7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DCvGfVAAAACAEAAA8AAAAAAAAAAQAgAAAAIgAAAGRycy9k&#10;b3ducmV2LnhtbFBLAQIUABQAAAAIAIdO4kAml5N0zAEAAKcDAAAOAAAAAAAAAAEAIAAAACQ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C1B44">
                    <w:pPr>
                      <w:pStyle w:val="4"/>
                      <w:spacing w:afterLines="0"/>
                      <w:ind w:firstLine="0" w:firstLineChars="0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9C07">
    <w:pPr>
      <w:pStyle w:val="4"/>
      <w:spacing w:after="1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A20553"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20553"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A4CF6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FEFE">
    <w:pPr>
      <w:pStyle w:val="5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A7359">
    <w:pPr>
      <w:pStyle w:val="5"/>
      <w:spacing w:after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0AA6">
    <w:pPr>
      <w:pStyle w:val="5"/>
      <w:pBdr>
        <w:bottom w:val="none" w:color="auto" w:sz="0" w:space="1"/>
      </w:pBdr>
      <w:tabs>
        <w:tab w:val="clear" w:pos="4153"/>
      </w:tabs>
      <w:spacing w:after="120"/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2907"/>
    <w:rsid w:val="3B772BE0"/>
    <w:rsid w:val="777A2907"/>
    <w:rsid w:val="7F6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spacing w:before="360" w:after="360" w:line="480" w:lineRule="auto"/>
      <w:jc w:val="left"/>
      <w:outlineLvl w:val="1"/>
    </w:pPr>
    <w:rPr>
      <w:rFonts w:eastAsia="黑体" w:cs="Times New Roman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afterLines="0" w:line="360" w:lineRule="auto"/>
      <w:ind w:firstLine="640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paragraph" w:styleId="9">
    <w:name w:val="No Spacing"/>
    <w:qFormat/>
    <w:uiPriority w:val="1"/>
    <w:pPr>
      <w:widowControl w:val="0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2025-12-23T16:38:00Z</dcterms:created>
  <dc:creator>李玉琦</dc:creator>
  <cp:lastModifiedBy>李玉琦</cp:lastModifiedBy>
  <dcterms:modified xsi:type="dcterms:W3CDTF">2025-12-23T16:38:49Z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A66FDC7F724B58B5F1544A69018A5642_41</vt:lpwstr>
  </property>
</Properties>
</file>