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bookmarkStart w:id="0" w:name="_GoBack"/>
      <w:bookmarkEnd w:id="0"/>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黑体" w:hAnsi="黑体" w:eastAsia="黑体"/>
          <w:sz w:val="56"/>
          <w:szCs w:val="56"/>
        </w:rPr>
      </w:pPr>
      <w:r>
        <w:rPr>
          <w:rFonts w:hint="eastAsia" w:ascii="黑体" w:hAnsi="黑体" w:eastAsia="黑体"/>
          <w:sz w:val="56"/>
          <w:szCs w:val="56"/>
        </w:rPr>
        <w:t>浙江省通信管理局</w:t>
      </w:r>
    </w:p>
    <w:p>
      <w:pPr>
        <w:jc w:val="center"/>
        <w:rPr>
          <w:rFonts w:ascii="黑体" w:hAnsi="黑体" w:eastAsia="黑体"/>
          <w:sz w:val="56"/>
          <w:szCs w:val="56"/>
        </w:rPr>
      </w:pPr>
      <w:r>
        <w:rPr>
          <w:rFonts w:hint="eastAsia" w:ascii="黑体" w:hAnsi="黑体" w:eastAsia="黑体"/>
          <w:sz w:val="56"/>
          <w:szCs w:val="56"/>
        </w:rPr>
        <w:t>2023年度部门预算</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黑体" w:hAnsi="黑体" w:eastAsia="黑体"/>
          <w:sz w:val="36"/>
          <w:szCs w:val="36"/>
        </w:rPr>
      </w:pPr>
      <w:r>
        <w:rPr>
          <w:rFonts w:hint="eastAsia" w:ascii="黑体" w:hAnsi="黑体" w:eastAsia="黑体"/>
          <w:sz w:val="36"/>
          <w:szCs w:val="36"/>
        </w:rPr>
        <w:t>2023年4月</w:t>
      </w:r>
    </w:p>
    <w:p>
      <w:pPr>
        <w:pStyle w:val="11"/>
        <w:widowControl/>
        <w:spacing w:beforeAutospacing="0" w:afterAutospacing="0" w:line="27" w:lineRule="atLeast"/>
        <w:ind w:firstLine="420"/>
        <w:jc w:val="center"/>
        <w:rPr>
          <w:rStyle w:val="8"/>
          <w:rFonts w:ascii="宋体" w:hAnsi="宋体" w:cs="宋体"/>
          <w:color w:val="070707"/>
          <w:sz w:val="30"/>
          <w:szCs w:val="30"/>
        </w:rPr>
      </w:pPr>
    </w:p>
    <w:p>
      <w:pPr>
        <w:pStyle w:val="11"/>
        <w:widowControl/>
        <w:spacing w:beforeAutospacing="0" w:afterAutospacing="0" w:line="27" w:lineRule="atLeast"/>
        <w:ind w:firstLine="420"/>
        <w:jc w:val="center"/>
        <w:rPr>
          <w:rStyle w:val="8"/>
          <w:rFonts w:ascii="宋体" w:hAnsi="宋体" w:cs="宋体"/>
          <w:color w:val="070707"/>
          <w:sz w:val="32"/>
          <w:szCs w:val="32"/>
        </w:rPr>
      </w:pPr>
      <w:r>
        <w:rPr>
          <w:rStyle w:val="8"/>
          <w:rFonts w:ascii="宋体" w:hAnsi="宋体" w:cs="宋体"/>
          <w:color w:val="070707"/>
          <w:sz w:val="32"/>
          <w:szCs w:val="32"/>
        </w:rPr>
        <w:t>目</w:t>
      </w:r>
      <w:r>
        <w:rPr>
          <w:rStyle w:val="8"/>
          <w:rFonts w:hint="eastAsia" w:ascii="宋体" w:hAnsi="宋体" w:cs="宋体"/>
          <w:color w:val="070707"/>
          <w:sz w:val="32"/>
          <w:szCs w:val="32"/>
        </w:rPr>
        <w:t xml:space="preserve">  </w:t>
      </w:r>
      <w:r>
        <w:rPr>
          <w:rStyle w:val="8"/>
          <w:rFonts w:ascii="宋体" w:hAnsi="宋体" w:cs="宋体"/>
          <w:color w:val="070707"/>
          <w:sz w:val="32"/>
          <w:szCs w:val="32"/>
        </w:rPr>
        <w:t>录</w:t>
      </w:r>
    </w:p>
    <w:p>
      <w:pPr>
        <w:pStyle w:val="11"/>
        <w:widowControl/>
        <w:spacing w:beforeAutospacing="0" w:afterAutospacing="0" w:line="27" w:lineRule="atLeast"/>
        <w:ind w:firstLine="420"/>
        <w:jc w:val="center"/>
        <w:rPr>
          <w:rStyle w:val="8"/>
          <w:rFonts w:ascii="宋体" w:hAnsi="宋体" w:cs="宋体"/>
          <w:color w:val="070707"/>
          <w:sz w:val="30"/>
          <w:szCs w:val="30"/>
        </w:rPr>
      </w:pPr>
    </w:p>
    <w:p>
      <w:pPr>
        <w:pStyle w:val="11"/>
        <w:widowControl/>
        <w:spacing w:beforeAutospacing="0" w:afterAutospacing="0" w:line="27" w:lineRule="atLeast"/>
        <w:ind w:firstLine="420"/>
        <w:rPr>
          <w:rFonts w:ascii="宋体" w:hAnsi="宋体" w:cs="宋体"/>
        </w:rPr>
      </w:pPr>
    </w:p>
    <w:p>
      <w:pPr>
        <w:pStyle w:val="11"/>
        <w:widowControl/>
        <w:spacing w:beforeAutospacing="0" w:afterAutospacing="0" w:line="27" w:lineRule="atLeast"/>
        <w:ind w:firstLine="420"/>
        <w:rPr>
          <w:rFonts w:ascii="仿宋_GB2312" w:hAnsi="仿宋_GB2312" w:eastAsia="仿宋_GB2312" w:cs="仿宋_GB2312"/>
          <w:color w:val="070707"/>
          <w:sz w:val="32"/>
          <w:szCs w:val="32"/>
        </w:rPr>
      </w:pPr>
      <w:r>
        <w:rPr>
          <w:rFonts w:hint="eastAsia" w:ascii="黑体" w:hAnsi="黑体" w:eastAsia="黑体"/>
          <w:color w:val="070707"/>
          <w:sz w:val="32"/>
          <w:szCs w:val="32"/>
        </w:rPr>
        <w:t>第一部分 浙江省通信管理局概况</w:t>
      </w:r>
    </w:p>
    <w:p>
      <w:pPr>
        <w:pStyle w:val="11"/>
        <w:widowControl/>
        <w:spacing w:beforeAutospacing="0" w:afterAutospacing="0" w:line="27"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070707"/>
          <w:sz w:val="32"/>
          <w:szCs w:val="32"/>
        </w:rPr>
        <w:t>一、主要职能</w:t>
      </w:r>
    </w:p>
    <w:p>
      <w:pPr>
        <w:pStyle w:val="11"/>
        <w:widowControl/>
        <w:spacing w:beforeAutospacing="0" w:afterAutospacing="0" w:line="27" w:lineRule="atLeast"/>
        <w:ind w:firstLine="420"/>
        <w:rPr>
          <w:rFonts w:ascii="仿宋_GB2312" w:hAnsi="仿宋_GB2312" w:eastAsia="仿宋_GB2312" w:cs="仿宋_GB2312"/>
          <w:color w:val="070707"/>
          <w:sz w:val="32"/>
          <w:szCs w:val="32"/>
        </w:rPr>
      </w:pPr>
      <w:r>
        <w:rPr>
          <w:rFonts w:hint="eastAsia" w:ascii="仿宋_GB2312" w:hAnsi="仿宋_GB2312" w:eastAsia="仿宋_GB2312" w:cs="仿宋_GB2312"/>
          <w:color w:val="070707"/>
          <w:sz w:val="32"/>
          <w:szCs w:val="32"/>
        </w:rPr>
        <w:t>二、内设机构</w:t>
      </w:r>
    </w:p>
    <w:p>
      <w:pPr>
        <w:pStyle w:val="11"/>
        <w:widowControl/>
        <w:spacing w:beforeAutospacing="0" w:afterAutospacing="0" w:line="27" w:lineRule="atLeast"/>
        <w:ind w:firstLine="420"/>
        <w:rPr>
          <w:rFonts w:ascii="黑体" w:hAnsi="黑体" w:eastAsia="黑体"/>
          <w:color w:val="070707"/>
          <w:sz w:val="32"/>
          <w:szCs w:val="32"/>
        </w:rPr>
      </w:pPr>
      <w:r>
        <w:rPr>
          <w:rFonts w:hint="eastAsia" w:ascii="黑体" w:hAnsi="黑体" w:eastAsia="黑体"/>
          <w:color w:val="070707"/>
          <w:sz w:val="32"/>
          <w:szCs w:val="32"/>
        </w:rPr>
        <w:t>第二部分 浙江省通信管理局2023年度部门预算表</w:t>
      </w:r>
    </w:p>
    <w:p>
      <w:pPr>
        <w:pStyle w:val="11"/>
        <w:widowControl/>
        <w:spacing w:beforeAutospacing="0" w:afterAutospacing="0" w:line="27"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070707"/>
          <w:sz w:val="32"/>
          <w:szCs w:val="32"/>
        </w:rPr>
        <w:t>一、部门收支总表</w:t>
      </w:r>
    </w:p>
    <w:p>
      <w:pPr>
        <w:pStyle w:val="11"/>
        <w:widowControl/>
        <w:spacing w:beforeAutospacing="0" w:afterAutospacing="0" w:line="27"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070707"/>
          <w:sz w:val="32"/>
          <w:szCs w:val="32"/>
        </w:rPr>
        <w:t>二、部门收入总表</w:t>
      </w:r>
    </w:p>
    <w:p>
      <w:pPr>
        <w:pStyle w:val="11"/>
        <w:widowControl/>
        <w:spacing w:beforeAutospacing="0" w:afterAutospacing="0" w:line="27"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070707"/>
          <w:sz w:val="32"/>
          <w:szCs w:val="32"/>
        </w:rPr>
        <w:t>三、部门支出总表</w:t>
      </w:r>
    </w:p>
    <w:p>
      <w:pPr>
        <w:pStyle w:val="11"/>
        <w:widowControl/>
        <w:spacing w:beforeAutospacing="0" w:afterAutospacing="0" w:line="27"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070707"/>
          <w:sz w:val="32"/>
          <w:szCs w:val="32"/>
        </w:rPr>
        <w:t>四、财政拨款收支总表</w:t>
      </w:r>
    </w:p>
    <w:p>
      <w:pPr>
        <w:pStyle w:val="11"/>
        <w:widowControl/>
        <w:spacing w:beforeAutospacing="0" w:afterAutospacing="0" w:line="27"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070707"/>
          <w:sz w:val="32"/>
          <w:szCs w:val="32"/>
        </w:rPr>
        <w:t>五、一般公共预算支出表</w:t>
      </w:r>
    </w:p>
    <w:p>
      <w:pPr>
        <w:pStyle w:val="11"/>
        <w:widowControl/>
        <w:spacing w:beforeAutospacing="0" w:afterAutospacing="0" w:line="27"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070707"/>
          <w:sz w:val="32"/>
          <w:szCs w:val="32"/>
        </w:rPr>
        <w:t>六、一般公共预算基本支出表</w:t>
      </w:r>
    </w:p>
    <w:p>
      <w:pPr>
        <w:pStyle w:val="11"/>
        <w:widowControl/>
        <w:spacing w:beforeAutospacing="0" w:afterAutospacing="0" w:line="27"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070707"/>
          <w:sz w:val="32"/>
          <w:szCs w:val="32"/>
        </w:rPr>
        <w:t>七、政府性基金预算支出表</w:t>
      </w:r>
    </w:p>
    <w:p>
      <w:pPr>
        <w:pStyle w:val="11"/>
        <w:widowControl/>
        <w:spacing w:beforeAutospacing="0" w:afterAutospacing="0" w:line="27" w:lineRule="atLeast"/>
        <w:ind w:firstLine="420"/>
        <w:rPr>
          <w:rFonts w:ascii="仿宋_GB2312" w:hAnsi="仿宋_GB2312" w:eastAsia="仿宋_GB2312" w:cs="仿宋_GB2312"/>
          <w:color w:val="070707"/>
          <w:sz w:val="32"/>
          <w:szCs w:val="32"/>
        </w:rPr>
      </w:pPr>
      <w:r>
        <w:rPr>
          <w:rFonts w:hint="eastAsia" w:ascii="仿宋_GB2312" w:hAnsi="仿宋_GB2312" w:eastAsia="仿宋_GB2312" w:cs="仿宋_GB2312"/>
          <w:color w:val="070707"/>
          <w:sz w:val="32"/>
          <w:szCs w:val="32"/>
        </w:rPr>
        <w:t>八、国有资本经营预算支出表</w:t>
      </w:r>
    </w:p>
    <w:p>
      <w:pPr>
        <w:pStyle w:val="11"/>
        <w:widowControl/>
        <w:spacing w:beforeAutospacing="0" w:afterAutospacing="0" w:line="27" w:lineRule="atLeast"/>
        <w:ind w:firstLine="420"/>
        <w:rPr>
          <w:rFonts w:ascii="仿宋_GB2312" w:hAnsi="仿宋_GB2312" w:eastAsia="仿宋_GB2312" w:cs="仿宋_GB2312"/>
          <w:color w:val="070707"/>
          <w:sz w:val="32"/>
          <w:szCs w:val="32"/>
        </w:rPr>
      </w:pPr>
      <w:r>
        <w:rPr>
          <w:rFonts w:hint="eastAsia" w:ascii="仿宋_GB2312" w:hAnsi="仿宋_GB2312" w:eastAsia="仿宋_GB2312" w:cs="仿宋_GB2312"/>
          <w:color w:val="070707"/>
          <w:sz w:val="32"/>
          <w:szCs w:val="32"/>
        </w:rPr>
        <w:t>九、财政拨款预算“三公”经费支出表</w:t>
      </w:r>
    </w:p>
    <w:p>
      <w:pPr>
        <w:pStyle w:val="11"/>
        <w:widowControl/>
        <w:spacing w:beforeAutospacing="0" w:afterAutospacing="0" w:line="27" w:lineRule="atLeast"/>
        <w:ind w:firstLine="420"/>
        <w:rPr>
          <w:rFonts w:ascii="黑体" w:hAnsi="黑体" w:eastAsia="黑体"/>
          <w:sz w:val="32"/>
          <w:szCs w:val="32"/>
        </w:rPr>
      </w:pPr>
      <w:r>
        <w:rPr>
          <w:rFonts w:hint="eastAsia" w:ascii="黑体" w:hAnsi="黑体" w:eastAsia="黑体"/>
          <w:color w:val="070707"/>
          <w:sz w:val="32"/>
          <w:szCs w:val="32"/>
        </w:rPr>
        <w:t>第三部分 浙江省通信管理局2023年度部门预算情况说明</w:t>
      </w:r>
    </w:p>
    <w:p>
      <w:pPr>
        <w:pStyle w:val="11"/>
        <w:widowControl/>
        <w:spacing w:beforeAutospacing="0" w:afterAutospacing="0" w:line="27" w:lineRule="atLeast"/>
        <w:ind w:firstLine="420"/>
        <w:rPr>
          <w:rFonts w:ascii="黑体" w:hAnsi="黑体" w:eastAsia="黑体"/>
          <w:color w:val="070707"/>
          <w:sz w:val="32"/>
          <w:szCs w:val="32"/>
        </w:rPr>
      </w:pPr>
      <w:r>
        <w:rPr>
          <w:rFonts w:hint="eastAsia" w:ascii="黑体" w:hAnsi="黑体" w:eastAsia="黑体"/>
          <w:color w:val="070707"/>
          <w:sz w:val="32"/>
          <w:szCs w:val="32"/>
        </w:rPr>
        <w:t>第四部分 名词解释</w:t>
      </w:r>
    </w:p>
    <w:p>
      <w:pPr>
        <w:pStyle w:val="11"/>
        <w:widowControl/>
        <w:spacing w:beforeAutospacing="0" w:afterAutospacing="0" w:line="27" w:lineRule="atLeast"/>
        <w:jc w:val="center"/>
        <w:rPr>
          <w:rStyle w:val="8"/>
          <w:rFonts w:ascii="黑体" w:hAnsi="黑体" w:eastAsia="黑体"/>
          <w:b w:val="0"/>
          <w:bCs/>
          <w:color w:val="070707"/>
          <w:sz w:val="44"/>
          <w:szCs w:val="44"/>
        </w:rPr>
      </w:pPr>
    </w:p>
    <w:p>
      <w:pPr>
        <w:pStyle w:val="11"/>
        <w:widowControl/>
        <w:spacing w:beforeAutospacing="0" w:afterAutospacing="0" w:line="27" w:lineRule="atLeast"/>
        <w:jc w:val="center"/>
        <w:rPr>
          <w:rStyle w:val="8"/>
          <w:rFonts w:ascii="黑体" w:hAnsi="黑体" w:eastAsia="黑体"/>
          <w:b w:val="0"/>
          <w:bCs/>
          <w:color w:val="070707"/>
          <w:sz w:val="44"/>
          <w:szCs w:val="44"/>
        </w:rPr>
      </w:pPr>
    </w:p>
    <w:p>
      <w:pPr>
        <w:pStyle w:val="11"/>
        <w:widowControl/>
        <w:spacing w:beforeAutospacing="0" w:afterAutospacing="0" w:line="27" w:lineRule="atLeast"/>
        <w:jc w:val="center"/>
        <w:rPr>
          <w:rStyle w:val="8"/>
          <w:rFonts w:ascii="黑体" w:hAnsi="黑体" w:eastAsia="黑体"/>
          <w:b w:val="0"/>
          <w:bCs/>
          <w:color w:val="070707"/>
          <w:sz w:val="44"/>
          <w:szCs w:val="44"/>
        </w:rPr>
      </w:pPr>
    </w:p>
    <w:p>
      <w:pPr>
        <w:pStyle w:val="11"/>
        <w:widowControl/>
        <w:spacing w:beforeAutospacing="0" w:afterAutospacing="0" w:line="27" w:lineRule="atLeast"/>
        <w:jc w:val="center"/>
        <w:rPr>
          <w:rStyle w:val="8"/>
          <w:rFonts w:ascii="黑体" w:hAnsi="黑体" w:eastAsia="黑体"/>
          <w:b w:val="0"/>
          <w:bCs/>
          <w:color w:val="070707"/>
          <w:sz w:val="44"/>
          <w:szCs w:val="44"/>
        </w:rPr>
      </w:pPr>
      <w:r>
        <w:rPr>
          <w:rStyle w:val="8"/>
          <w:rFonts w:hint="eastAsia" w:ascii="黑体" w:hAnsi="黑体" w:eastAsia="黑体"/>
          <w:b w:val="0"/>
          <w:bCs/>
          <w:color w:val="070707"/>
          <w:sz w:val="44"/>
          <w:szCs w:val="44"/>
        </w:rPr>
        <w:t>第一部分 浙江省通信管理局概况</w:t>
      </w:r>
    </w:p>
    <w:p>
      <w:pPr>
        <w:pStyle w:val="11"/>
        <w:widowControl/>
        <w:spacing w:beforeAutospacing="0" w:afterAutospacing="0" w:line="27" w:lineRule="atLeast"/>
        <w:jc w:val="center"/>
        <w:rPr>
          <w:rStyle w:val="8"/>
          <w:rFonts w:ascii="宋体" w:hAnsi="宋体" w:cs="宋体"/>
          <w:color w:val="070707"/>
        </w:rPr>
      </w:pPr>
    </w:p>
    <w:p>
      <w:pPr>
        <w:pStyle w:val="11"/>
        <w:widowControl/>
        <w:spacing w:beforeAutospacing="0" w:afterAutospacing="0" w:line="27" w:lineRule="atLeast"/>
        <w:ind w:firstLine="420"/>
        <w:rPr>
          <w:rFonts w:ascii="宋体" w:hAnsi="宋体" w:cs="宋体"/>
          <w:color w:val="070707"/>
        </w:rPr>
      </w:pPr>
    </w:p>
    <w:p>
      <w:pPr>
        <w:pStyle w:val="11"/>
        <w:widowControl/>
        <w:adjustRightInd w:val="0"/>
        <w:snapToGrid w:val="0"/>
        <w:spacing w:beforeAutospacing="0" w:afterAutospacing="0" w:line="360" w:lineRule="auto"/>
        <w:ind w:firstLine="643" w:firstLineChars="200"/>
        <w:rPr>
          <w:rFonts w:ascii="宋体" w:hAnsi="宋体" w:cs="宋体"/>
          <w:b/>
          <w:bCs/>
          <w:color w:val="070707"/>
          <w:sz w:val="32"/>
          <w:szCs w:val="32"/>
        </w:rPr>
      </w:pPr>
      <w:r>
        <w:rPr>
          <w:rFonts w:ascii="宋体" w:hAnsi="宋体" w:cs="宋体"/>
          <w:b/>
          <w:bCs/>
          <w:color w:val="070707"/>
          <w:sz w:val="32"/>
          <w:szCs w:val="32"/>
        </w:rPr>
        <w:t>一、主要职能</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贯彻执行通信行业管理政策法规，统筹规划浙江省公用通信网、互联网、专用通信网并实行行业管理；监测分析浙江省通信业运行态势并发布引导信息，协调解决行业运行发展中的有关问题；承担推动实施浙江省“三网融合”的有关工作。</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协调浙江省公用通信网、互联网、专用通信网的建设，促进资源共享；受工业和信息化部委托，负责浙江省重要通信设施建设管理；监督管理浙江省通信建设市场；指导浙江省通信业加强安全生产管理工作。</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依法监督管理浙江省电信与信息服务市场；会同有关部门监督管理电信服务资费和质量；保障普遍服务，推动行业自律；根据授权负责浙江省通信网码号、互联网域名和地址等资源的管理；监管浙江省公用通信网、互联网、专用通信网互联互通和公平接入。</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（四）组织协调浙江省应急通信及其他重要通信保障工作。</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五）协调管理浙江省公用通信网、互联网、专用通信网网络信息安全平台；监管浙江省网络运行安全；拟订浙江省电信网络安全防护政策并组织实施；负责浙江省网络安全应急管理和处置；受工业和信息化部委托，配合开展浙江省特殊通信、网络环境和信息治理有关工作，配合处理网络有害信息；拟订浙江省通信管制措施并组织实施。</w:t>
      </w:r>
    </w:p>
    <w:p>
      <w:pPr>
        <w:pStyle w:val="6"/>
        <w:adjustRightInd w:val="0"/>
        <w:snapToGrid w:val="0"/>
        <w:spacing w:line="360" w:lineRule="auto"/>
        <w:ind w:firstLine="640" w:firstLineChars="200"/>
        <w:rPr>
          <w:rFonts w:ascii="仿宋_GB2312" w:hAnsi="宋体" w:eastAsia="仿宋_GB2312"/>
          <w:color w:val="070707"/>
          <w:sz w:val="32"/>
          <w:szCs w:val="32"/>
        </w:rPr>
      </w:pPr>
      <w:r>
        <w:rPr>
          <w:rFonts w:hint="eastAsia" w:ascii="仿宋_GB2312" w:hAnsi="宋体" w:eastAsia="仿宋_GB2312"/>
          <w:sz w:val="32"/>
          <w:szCs w:val="32"/>
        </w:rPr>
        <w:t>（六）承办工业和信息化部及中共浙江省委、浙江省人民政府交办的其他事项。</w:t>
      </w:r>
    </w:p>
    <w:p>
      <w:pPr>
        <w:pStyle w:val="11"/>
        <w:widowControl/>
        <w:adjustRightInd w:val="0"/>
        <w:snapToGrid w:val="0"/>
        <w:spacing w:beforeAutospacing="0" w:afterAutospacing="0" w:line="360" w:lineRule="auto"/>
        <w:ind w:firstLine="643" w:firstLineChars="200"/>
        <w:rPr>
          <w:rFonts w:ascii="仿宋_GB2312" w:hAnsi="仿宋_GB2312" w:eastAsia="仿宋_GB2312" w:cs="仿宋_GB2312"/>
          <w:color w:val="070707"/>
          <w:sz w:val="32"/>
          <w:szCs w:val="32"/>
        </w:rPr>
      </w:pPr>
      <w:r>
        <w:rPr>
          <w:rFonts w:ascii="宋体" w:hAnsi="宋体" w:cs="宋体"/>
          <w:b/>
          <w:bCs/>
          <w:color w:val="070707"/>
          <w:sz w:val="32"/>
          <w:szCs w:val="32"/>
        </w:rPr>
        <w:t>二、</w:t>
      </w:r>
      <w:r>
        <w:rPr>
          <w:rFonts w:hint="eastAsia" w:ascii="宋体" w:hAnsi="宋体" w:cs="宋体"/>
          <w:b/>
          <w:bCs/>
          <w:color w:val="070707"/>
          <w:sz w:val="32"/>
          <w:szCs w:val="32"/>
        </w:rPr>
        <w:t>内设机构</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根据上述职责，浙江省通信管理局内设5个处室，下辖宁波市通信管理局：</w:t>
      </w:r>
    </w:p>
    <w:p>
      <w:pPr>
        <w:pStyle w:val="6"/>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（一）办公室（人事处）</w:t>
      </w:r>
    </w:p>
    <w:p>
      <w:pPr>
        <w:pStyle w:val="6"/>
        <w:adjustRightInd w:val="0"/>
        <w:snapToGrid w:val="0"/>
        <w:spacing w:line="360" w:lineRule="auto"/>
        <w:ind w:firstLine="640" w:firstLineChars="200"/>
        <w:rPr>
          <w:rFonts w:ascii="仿宋_GB2312" w:hAnsi="宋体" w:eastAsia="仿宋_GB2312"/>
          <w:color w:val="070707"/>
          <w:sz w:val="32"/>
          <w:szCs w:val="32"/>
        </w:rPr>
      </w:pPr>
      <w:r>
        <w:rPr>
          <w:rFonts w:hint="eastAsia" w:ascii="仿宋_GB2312" w:hAnsi="宋体" w:eastAsia="仿宋_GB2312"/>
          <w:sz w:val="32"/>
          <w:szCs w:val="32"/>
        </w:rPr>
        <w:t>（二）政策法规处（监察处、机关党委）</w:t>
      </w:r>
    </w:p>
    <w:p>
      <w:pPr>
        <w:pStyle w:val="6"/>
        <w:adjustRightInd w:val="0"/>
        <w:snapToGrid w:val="0"/>
        <w:spacing w:line="360" w:lineRule="auto"/>
        <w:ind w:firstLine="640" w:firstLineChars="200"/>
        <w:rPr>
          <w:rFonts w:ascii="仿宋_GB2312" w:hAnsi="宋体" w:eastAsia="仿宋_GB2312"/>
          <w:color w:val="070707"/>
          <w:sz w:val="32"/>
          <w:szCs w:val="32"/>
        </w:rPr>
      </w:pPr>
      <w:r>
        <w:rPr>
          <w:rFonts w:hint="eastAsia" w:ascii="仿宋_GB2312" w:hAnsi="宋体" w:eastAsia="仿宋_GB2312"/>
          <w:sz w:val="32"/>
          <w:szCs w:val="32"/>
        </w:rPr>
        <w:t>（三）信息通信发展处（战备应急通信办公室、国防信息动员办公室）</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（四）信息通信管理处</w:t>
      </w:r>
    </w:p>
    <w:p>
      <w:pPr>
        <w:adjustRightInd w:val="0"/>
        <w:snapToGrid w:val="0"/>
        <w:spacing w:line="360" w:lineRule="auto"/>
        <w:ind w:firstLine="640" w:firstLineChars="200"/>
        <w:rPr>
          <w:rFonts w:ascii="仿宋_GB2312" w:hAnsi="宋体" w:eastAsia="仿宋_GB2312"/>
          <w:color w:val="0070C0"/>
          <w:sz w:val="32"/>
          <w:szCs w:val="32"/>
        </w:rPr>
      </w:pPr>
      <w:r>
        <w:rPr>
          <w:rFonts w:hint="eastAsia" w:ascii="仿宋_GB2312" w:hAnsi="宋体" w:eastAsia="仿宋_GB2312"/>
          <w:sz w:val="32"/>
          <w:szCs w:val="32"/>
        </w:rPr>
        <w:t>（五）网络安全管理处</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（六）宁波市通信管理局</w:t>
      </w:r>
    </w:p>
    <w:p>
      <w:pPr>
        <w:pStyle w:val="11"/>
        <w:widowControl/>
        <w:spacing w:beforeAutospacing="0" w:afterAutospacing="0"/>
        <w:ind w:firstLine="420"/>
        <w:rPr>
          <w:rStyle w:val="8"/>
          <w:rFonts w:ascii="宋体" w:hAnsi="宋体" w:cs="宋体"/>
          <w:color w:val="070707"/>
          <w:sz w:val="32"/>
          <w:szCs w:val="32"/>
        </w:rPr>
        <w:sectPr>
          <w:footerReference r:id="rId3" w:type="default"/>
          <w:pgSz w:w="11906" w:h="16838"/>
          <w:pgMar w:top="1440" w:right="1803" w:bottom="1440" w:left="1803" w:header="851" w:footer="992" w:gutter="0"/>
          <w:cols w:space="720" w:num="1"/>
          <w:docGrid w:type="lines" w:linePitch="319" w:charSpace="0"/>
        </w:sectPr>
      </w:pPr>
    </w:p>
    <w:p>
      <w:pPr>
        <w:pStyle w:val="11"/>
        <w:widowControl/>
        <w:spacing w:beforeAutospacing="0" w:afterAutospacing="0"/>
        <w:jc w:val="center"/>
        <w:rPr>
          <w:rStyle w:val="8"/>
          <w:rFonts w:ascii="宋体" w:hAnsi="宋体" w:cs="宋体"/>
          <w:b w:val="0"/>
          <w:bCs/>
          <w:color w:val="070707"/>
          <w:sz w:val="44"/>
          <w:szCs w:val="44"/>
        </w:rPr>
      </w:pPr>
      <w:r>
        <w:rPr>
          <w:rStyle w:val="8"/>
          <w:rFonts w:hint="eastAsia" w:ascii="黑体" w:hAnsi="黑体" w:eastAsia="黑体"/>
          <w:b w:val="0"/>
          <w:bCs/>
          <w:color w:val="070707"/>
          <w:sz w:val="44"/>
          <w:szCs w:val="44"/>
        </w:rPr>
        <w:t>第二部分 浙江省通信管理局2023年度部门预算表</w:t>
      </w:r>
    </w:p>
    <w:p>
      <w:pPr>
        <w:pStyle w:val="11"/>
        <w:widowControl/>
        <w:spacing w:beforeAutospacing="0" w:afterAutospacing="0" w:line="27" w:lineRule="atLeast"/>
        <w:ind w:firstLine="420"/>
        <w:jc w:val="center"/>
        <w:rPr>
          <w:rStyle w:val="8"/>
          <w:rFonts w:ascii="宋体" w:hAnsi="宋体" w:cs="宋体"/>
          <w:color w:val="070707"/>
        </w:rPr>
      </w:pPr>
    </w:p>
    <w:p>
      <w:pPr>
        <w:pStyle w:val="11"/>
        <w:widowControl/>
        <w:spacing w:beforeAutospacing="0" w:afterAutospacing="0" w:line="27" w:lineRule="atLeast"/>
        <w:ind w:firstLine="420"/>
        <w:jc w:val="center"/>
        <w:rPr>
          <w:rStyle w:val="8"/>
          <w:rFonts w:ascii="宋体" w:hAnsi="宋体" w:cs="宋体"/>
          <w:color w:val="070707"/>
        </w:rPr>
      </w:pPr>
    </w:p>
    <w:tbl>
      <w:tblPr>
        <w:tblStyle w:val="10"/>
        <w:tblW w:w="14996" w:type="dxa"/>
        <w:tblInd w:w="-429" w:type="dxa"/>
        <w:tblLayout w:type="fixed"/>
        <w:tblCellMar>
          <w:top w:w="0" w:type="dxa"/>
          <w:left w:w="108" w:type="dxa"/>
          <w:bottom w:w="0" w:type="dxa"/>
          <w:right w:w="108" w:type="dxa"/>
        </w:tblCellMar>
      </w:tblPr>
      <w:tblGrid>
        <w:gridCol w:w="3843"/>
        <w:gridCol w:w="477"/>
        <w:gridCol w:w="2454"/>
        <w:gridCol w:w="706"/>
        <w:gridCol w:w="3592"/>
        <w:gridCol w:w="528"/>
        <w:gridCol w:w="3396"/>
      </w:tblGrid>
      <w:tr>
        <w:tblPrEx>
          <w:tblLayout w:type="fixed"/>
          <w:tblCellMar>
            <w:top w:w="0" w:type="dxa"/>
            <w:left w:w="108" w:type="dxa"/>
            <w:bottom w:w="0" w:type="dxa"/>
            <w:right w:w="108" w:type="dxa"/>
          </w:tblCellMar>
        </w:tblPrEx>
        <w:trPr>
          <w:trHeight w:val="300" w:hRule="atLeast"/>
        </w:trPr>
        <w:tc>
          <w:tcPr>
            <w:tcW w:w="4320" w:type="dxa"/>
            <w:gridSpan w:val="2"/>
            <w:tcBorders>
              <w:top w:val="nil"/>
              <w:left w:val="nil"/>
              <w:bottom w:val="nil"/>
              <w:right w:val="nil"/>
            </w:tcBorders>
            <w:vAlign w:val="center"/>
          </w:tcPr>
          <w:p>
            <w:pPr>
              <w:widowControl/>
              <w:jc w:val="left"/>
              <w:rPr>
                <w:rFonts w:ascii="宋体" w:hAnsi="宋体" w:cs="Calibri"/>
                <w:kern w:val="0"/>
                <w:sz w:val="20"/>
                <w:szCs w:val="20"/>
              </w:rPr>
            </w:pPr>
          </w:p>
        </w:tc>
        <w:tc>
          <w:tcPr>
            <w:tcW w:w="3160" w:type="dxa"/>
            <w:gridSpan w:val="2"/>
            <w:tcBorders>
              <w:top w:val="nil"/>
              <w:left w:val="nil"/>
              <w:bottom w:val="nil"/>
              <w:right w:val="nil"/>
            </w:tcBorders>
            <w:vAlign w:val="center"/>
          </w:tcPr>
          <w:p>
            <w:pPr>
              <w:widowControl/>
              <w:jc w:val="left"/>
              <w:rPr>
                <w:rFonts w:ascii="宋体" w:hAnsi="宋体" w:cs="Calibri"/>
                <w:kern w:val="0"/>
                <w:sz w:val="20"/>
                <w:szCs w:val="20"/>
              </w:rPr>
            </w:pPr>
          </w:p>
        </w:tc>
        <w:tc>
          <w:tcPr>
            <w:tcW w:w="4120" w:type="dxa"/>
            <w:gridSpan w:val="2"/>
            <w:tcBorders>
              <w:top w:val="nil"/>
              <w:left w:val="nil"/>
              <w:bottom w:val="nil"/>
              <w:right w:val="nil"/>
            </w:tcBorders>
            <w:vAlign w:val="center"/>
          </w:tcPr>
          <w:p>
            <w:pPr>
              <w:widowControl/>
              <w:jc w:val="left"/>
              <w:rPr>
                <w:rFonts w:ascii="宋体" w:hAnsi="宋体" w:cs="Calibri"/>
                <w:kern w:val="0"/>
                <w:sz w:val="20"/>
                <w:szCs w:val="20"/>
              </w:rPr>
            </w:pPr>
          </w:p>
        </w:tc>
        <w:tc>
          <w:tcPr>
            <w:tcW w:w="3396" w:type="dxa"/>
            <w:tcBorders>
              <w:top w:val="nil"/>
              <w:left w:val="nil"/>
              <w:bottom w:val="nil"/>
              <w:right w:val="nil"/>
            </w:tcBorders>
            <w:vAlign w:val="center"/>
          </w:tcPr>
          <w:p>
            <w:pPr>
              <w:widowControl/>
              <w:jc w:val="right"/>
              <w:rPr>
                <w:rFonts w:ascii="宋体" w:hAnsi="宋体" w:cs="Calibri"/>
                <w:color w:val="000000"/>
                <w:kern w:val="0"/>
                <w:sz w:val="20"/>
                <w:szCs w:val="20"/>
              </w:rPr>
            </w:pPr>
            <w:r>
              <w:rPr>
                <w:rFonts w:hint="eastAsia" w:ascii="宋体" w:hAnsi="宋体" w:cs="Calibri"/>
                <w:color w:val="000000"/>
                <w:kern w:val="0"/>
                <w:sz w:val="20"/>
                <w:szCs w:val="20"/>
              </w:rPr>
              <w:t>部门公开表1</w:t>
            </w:r>
          </w:p>
        </w:tc>
      </w:tr>
      <w:tr>
        <w:tblPrEx>
          <w:tblLayout w:type="fixed"/>
          <w:tblCellMar>
            <w:top w:w="0" w:type="dxa"/>
            <w:left w:w="108" w:type="dxa"/>
            <w:bottom w:w="0" w:type="dxa"/>
            <w:right w:w="108" w:type="dxa"/>
          </w:tblCellMar>
        </w:tblPrEx>
        <w:trPr>
          <w:trHeight w:val="615" w:hRule="atLeast"/>
        </w:trPr>
        <w:tc>
          <w:tcPr>
            <w:tcW w:w="14996" w:type="dxa"/>
            <w:gridSpan w:val="7"/>
            <w:tcBorders>
              <w:top w:val="nil"/>
              <w:left w:val="nil"/>
              <w:bottom w:val="nil"/>
              <w:right w:val="nil"/>
            </w:tcBorders>
            <w:vAlign w:val="center"/>
          </w:tcPr>
          <w:p>
            <w:pPr>
              <w:widowControl/>
              <w:jc w:val="center"/>
              <w:rPr>
                <w:rFonts w:ascii="宋体" w:hAnsi="宋体" w:cs="Calibri"/>
                <w:b/>
                <w:bCs/>
                <w:color w:val="000000"/>
                <w:kern w:val="0"/>
                <w:sz w:val="48"/>
                <w:szCs w:val="48"/>
              </w:rPr>
            </w:pPr>
            <w:r>
              <w:rPr>
                <w:rFonts w:hint="eastAsia" w:ascii="宋体" w:hAnsi="宋体" w:cs="Calibri"/>
                <w:b/>
                <w:bCs/>
                <w:color w:val="000000"/>
                <w:kern w:val="0"/>
                <w:sz w:val="48"/>
                <w:szCs w:val="48"/>
              </w:rPr>
              <w:t>部门收支总表</w:t>
            </w:r>
          </w:p>
        </w:tc>
      </w:tr>
      <w:tr>
        <w:tblPrEx>
          <w:tblLayout w:type="fixed"/>
          <w:tblCellMar>
            <w:top w:w="0" w:type="dxa"/>
            <w:left w:w="108" w:type="dxa"/>
            <w:bottom w:w="0" w:type="dxa"/>
            <w:right w:w="108" w:type="dxa"/>
          </w:tblCellMar>
        </w:tblPrEx>
        <w:trPr>
          <w:trHeight w:val="330" w:hRule="atLeast"/>
        </w:trPr>
        <w:tc>
          <w:tcPr>
            <w:tcW w:w="4320" w:type="dxa"/>
            <w:gridSpan w:val="2"/>
            <w:tcBorders>
              <w:top w:val="nil"/>
              <w:left w:val="nil"/>
              <w:bottom w:val="nil"/>
              <w:right w:val="nil"/>
            </w:tcBorders>
            <w:vAlign w:val="center"/>
          </w:tcPr>
          <w:p>
            <w:pPr>
              <w:widowControl/>
              <w:jc w:val="left"/>
              <w:rPr>
                <w:rFonts w:ascii="宋体" w:hAnsi="宋体" w:cs="Calibri"/>
                <w:color w:val="000000"/>
                <w:kern w:val="0"/>
                <w:sz w:val="20"/>
                <w:szCs w:val="20"/>
              </w:rPr>
            </w:pPr>
          </w:p>
        </w:tc>
        <w:tc>
          <w:tcPr>
            <w:tcW w:w="2454" w:type="dxa"/>
            <w:tcBorders>
              <w:top w:val="nil"/>
              <w:left w:val="nil"/>
              <w:bottom w:val="nil"/>
              <w:right w:val="nil"/>
            </w:tcBorders>
            <w:vAlign w:val="center"/>
          </w:tcPr>
          <w:p>
            <w:pPr>
              <w:widowControl/>
              <w:jc w:val="left"/>
              <w:rPr>
                <w:rFonts w:ascii="宋体" w:hAnsi="宋体" w:cs="Calibri"/>
                <w:color w:val="000000"/>
                <w:kern w:val="0"/>
                <w:sz w:val="18"/>
                <w:szCs w:val="18"/>
              </w:rPr>
            </w:pPr>
          </w:p>
        </w:tc>
        <w:tc>
          <w:tcPr>
            <w:tcW w:w="4826" w:type="dxa"/>
            <w:gridSpan w:val="3"/>
            <w:tcBorders>
              <w:top w:val="nil"/>
              <w:left w:val="nil"/>
              <w:bottom w:val="nil"/>
              <w:right w:val="nil"/>
            </w:tcBorders>
            <w:vAlign w:val="center"/>
          </w:tcPr>
          <w:p>
            <w:pPr>
              <w:widowControl/>
              <w:jc w:val="left"/>
              <w:rPr>
                <w:rFonts w:ascii="宋体" w:hAnsi="宋体" w:cs="Calibri"/>
                <w:color w:val="000000"/>
                <w:kern w:val="0"/>
                <w:sz w:val="18"/>
                <w:szCs w:val="18"/>
              </w:rPr>
            </w:pPr>
          </w:p>
        </w:tc>
        <w:tc>
          <w:tcPr>
            <w:tcW w:w="3396" w:type="dxa"/>
            <w:tcBorders>
              <w:top w:val="nil"/>
              <w:left w:val="nil"/>
              <w:bottom w:val="nil"/>
              <w:right w:val="nil"/>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单位：万元</w:t>
            </w:r>
          </w:p>
        </w:tc>
      </w:tr>
      <w:tr>
        <w:tblPrEx>
          <w:tblLayout w:type="fixed"/>
          <w:tblCellMar>
            <w:top w:w="0" w:type="dxa"/>
            <w:left w:w="108" w:type="dxa"/>
            <w:bottom w:w="0" w:type="dxa"/>
            <w:right w:w="108" w:type="dxa"/>
          </w:tblCellMar>
        </w:tblPrEx>
        <w:trPr>
          <w:trHeight w:val="375" w:hRule="atLeast"/>
        </w:trPr>
        <w:tc>
          <w:tcPr>
            <w:tcW w:w="67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收      入</w:t>
            </w:r>
          </w:p>
        </w:tc>
        <w:tc>
          <w:tcPr>
            <w:tcW w:w="8222"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支      出</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项目</w:t>
            </w:r>
          </w:p>
        </w:tc>
        <w:tc>
          <w:tcPr>
            <w:tcW w:w="2931" w:type="dxa"/>
            <w:gridSpan w:val="2"/>
            <w:tcBorders>
              <w:top w:val="nil"/>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预算数</w:t>
            </w:r>
          </w:p>
        </w:tc>
        <w:tc>
          <w:tcPr>
            <w:tcW w:w="4298" w:type="dxa"/>
            <w:gridSpan w:val="2"/>
            <w:tcBorders>
              <w:top w:val="nil"/>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项目</w:t>
            </w:r>
          </w:p>
        </w:tc>
        <w:tc>
          <w:tcPr>
            <w:tcW w:w="3924" w:type="dxa"/>
            <w:gridSpan w:val="2"/>
            <w:tcBorders>
              <w:top w:val="nil"/>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预算数</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一、一般公共预算拨款收入</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1,598.02</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一、社会保障和就业支出</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68.80</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二、政府性基金预算拨款收入</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二、卫生健康支出</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28.81</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三、国有资本经营预算拨款收入</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三、资源勘探工业信息等支出</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2,728.91</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四、事业收入</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四、住房保障支出</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107.75</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五、事业单位经营收入</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1,000.00</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六、其他收入</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500.15</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kern w:val="0"/>
                <w:sz w:val="20"/>
                <w:szCs w:val="20"/>
              </w:rPr>
            </w:pPr>
            <w:r>
              <w:rPr>
                <w:rFonts w:hint="eastAsia" w:ascii="宋体" w:hAnsi="宋体" w:cs="Calibri"/>
                <w:kern w:val="0"/>
                <w:sz w:val="20"/>
                <w:szCs w:val="20"/>
              </w:rPr>
              <w:t>本年收入合计</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3,098.17</w:t>
            </w:r>
          </w:p>
        </w:tc>
        <w:tc>
          <w:tcPr>
            <w:tcW w:w="4298" w:type="dxa"/>
            <w:gridSpan w:val="2"/>
            <w:tcBorders>
              <w:top w:val="nil"/>
              <w:left w:val="nil"/>
              <w:bottom w:val="single" w:color="000000" w:sz="4" w:space="0"/>
              <w:right w:val="single" w:color="000000" w:sz="4" w:space="0"/>
            </w:tcBorders>
            <w:vAlign w:val="center"/>
          </w:tcPr>
          <w:p>
            <w:pPr>
              <w:widowControl/>
              <w:jc w:val="center"/>
              <w:rPr>
                <w:rFonts w:ascii="宋体" w:hAnsi="宋体" w:cs="Calibri"/>
                <w:kern w:val="0"/>
                <w:sz w:val="20"/>
                <w:szCs w:val="20"/>
              </w:rPr>
            </w:pPr>
            <w:r>
              <w:rPr>
                <w:rFonts w:hint="eastAsia" w:ascii="宋体" w:hAnsi="宋体" w:cs="Calibri"/>
                <w:kern w:val="0"/>
                <w:sz w:val="20"/>
                <w:szCs w:val="20"/>
              </w:rPr>
              <w:t>本年支出合计</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2,934.27</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使用非财政拨款结余</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结转下年</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826.64</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上年结转</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662.74</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4298"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75" w:hRule="atLeast"/>
        </w:trPr>
        <w:tc>
          <w:tcPr>
            <w:tcW w:w="3843"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kern w:val="0"/>
                <w:sz w:val="20"/>
                <w:szCs w:val="20"/>
              </w:rPr>
            </w:pPr>
            <w:r>
              <w:rPr>
                <w:rFonts w:hint="eastAsia" w:ascii="宋体" w:hAnsi="宋体" w:cs="Calibri"/>
                <w:kern w:val="0"/>
                <w:sz w:val="20"/>
                <w:szCs w:val="20"/>
              </w:rPr>
              <w:t>收    入    总    计</w:t>
            </w:r>
          </w:p>
        </w:tc>
        <w:tc>
          <w:tcPr>
            <w:tcW w:w="2931"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3,760.91</w:t>
            </w:r>
          </w:p>
        </w:tc>
        <w:tc>
          <w:tcPr>
            <w:tcW w:w="4298" w:type="dxa"/>
            <w:gridSpan w:val="2"/>
            <w:tcBorders>
              <w:top w:val="nil"/>
              <w:left w:val="nil"/>
              <w:bottom w:val="single" w:color="000000" w:sz="4" w:space="0"/>
              <w:right w:val="single" w:color="000000" w:sz="4" w:space="0"/>
            </w:tcBorders>
            <w:vAlign w:val="center"/>
          </w:tcPr>
          <w:p>
            <w:pPr>
              <w:widowControl/>
              <w:jc w:val="center"/>
              <w:rPr>
                <w:rFonts w:ascii="宋体" w:hAnsi="宋体" w:cs="Calibri"/>
                <w:kern w:val="0"/>
                <w:sz w:val="20"/>
                <w:szCs w:val="20"/>
              </w:rPr>
            </w:pPr>
            <w:r>
              <w:rPr>
                <w:rFonts w:hint="eastAsia" w:ascii="宋体" w:hAnsi="宋体" w:cs="Calibri"/>
                <w:kern w:val="0"/>
                <w:sz w:val="20"/>
                <w:szCs w:val="20"/>
              </w:rPr>
              <w:t>支    出    总    计</w:t>
            </w:r>
          </w:p>
        </w:tc>
        <w:tc>
          <w:tcPr>
            <w:tcW w:w="3924"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3,760.91</w:t>
            </w:r>
          </w:p>
        </w:tc>
      </w:tr>
    </w:tbl>
    <w:p>
      <w:pPr>
        <w:rPr>
          <w:rFonts w:ascii="宋体" w:hAnsi="宋体" w:cs="宋体"/>
          <w:color w:val="000000"/>
          <w:sz w:val="20"/>
          <w:szCs w:val="20"/>
        </w:rPr>
        <w:sectPr>
          <w:pgSz w:w="16838" w:h="11906" w:orient="landscape"/>
          <w:pgMar w:top="1803" w:right="1440" w:bottom="1803" w:left="1440" w:header="851" w:footer="992" w:gutter="0"/>
          <w:cols w:space="720" w:num="1"/>
          <w:docGrid w:type="lines" w:linePitch="319" w:charSpace="0"/>
        </w:sectPr>
      </w:pPr>
    </w:p>
    <w:p>
      <w:pPr>
        <w:pStyle w:val="11"/>
        <w:widowControl/>
        <w:spacing w:beforeAutospacing="0" w:afterAutospacing="0" w:line="27" w:lineRule="atLeast"/>
        <w:ind w:firstLine="420"/>
        <w:jc w:val="center"/>
        <w:rPr>
          <w:rStyle w:val="8"/>
          <w:rFonts w:ascii="宋体" w:hAnsi="宋体" w:cs="宋体"/>
          <w:color w:val="070707"/>
        </w:rPr>
      </w:pPr>
    </w:p>
    <w:p>
      <w:pPr>
        <w:pStyle w:val="11"/>
        <w:widowControl/>
        <w:spacing w:beforeAutospacing="0" w:afterAutospacing="0" w:line="27" w:lineRule="atLeast"/>
        <w:ind w:firstLine="420"/>
        <w:jc w:val="center"/>
        <w:rPr>
          <w:rStyle w:val="8"/>
          <w:rFonts w:ascii="宋体" w:hAnsi="宋体" w:cs="宋体"/>
          <w:color w:val="070707"/>
        </w:rPr>
      </w:pPr>
    </w:p>
    <w:p>
      <w:pPr>
        <w:widowControl/>
        <w:jc w:val="right"/>
        <w:rPr>
          <w:rFonts w:ascii="宋体" w:hAnsi="宋体" w:eastAsia="宋体" w:cs="Calibri"/>
          <w:color w:val="000000"/>
          <w:kern w:val="0"/>
          <w:sz w:val="20"/>
          <w:szCs w:val="20"/>
        </w:rPr>
      </w:pPr>
    </w:p>
    <w:p>
      <w:pPr>
        <w:widowControl/>
        <w:wordWrap w:val="0"/>
        <w:jc w:val="right"/>
        <w:rPr>
          <w:rFonts w:ascii="宋体" w:hAnsi="宋体" w:eastAsia="宋体" w:cs="Calibri"/>
          <w:color w:val="000000"/>
          <w:kern w:val="0"/>
          <w:sz w:val="20"/>
          <w:szCs w:val="20"/>
        </w:rPr>
      </w:pPr>
      <w:r>
        <w:rPr>
          <w:rFonts w:hint="eastAsia" w:ascii="宋体" w:hAnsi="宋体" w:eastAsia="宋体" w:cs="Calibri"/>
          <w:color w:val="000000"/>
          <w:kern w:val="0"/>
          <w:sz w:val="20"/>
          <w:szCs w:val="20"/>
        </w:rPr>
        <w:t xml:space="preserve">        </w:t>
      </w:r>
      <w:r>
        <w:rPr>
          <w:rFonts w:ascii="宋体" w:hAnsi="宋体" w:eastAsia="宋体" w:cs="Calibri"/>
          <w:color w:val="000000"/>
          <w:kern w:val="0"/>
          <w:sz w:val="20"/>
          <w:szCs w:val="20"/>
        </w:rPr>
        <w:t>部门公开表</w:t>
      </w:r>
      <w:r>
        <w:rPr>
          <w:rFonts w:hint="eastAsia" w:ascii="宋体" w:hAnsi="宋体" w:eastAsia="宋体" w:cs="Calibri"/>
          <w:color w:val="000000"/>
          <w:kern w:val="0"/>
          <w:sz w:val="20"/>
          <w:szCs w:val="20"/>
        </w:rPr>
        <w:t xml:space="preserve"> 2</w:t>
      </w:r>
    </w:p>
    <w:p>
      <w:pPr>
        <w:widowControl/>
        <w:jc w:val="right"/>
        <w:rPr>
          <w:rFonts w:ascii="宋体" w:hAnsi="宋体" w:eastAsia="宋体" w:cs="Calibri"/>
          <w:color w:val="000000"/>
          <w:kern w:val="0"/>
          <w:sz w:val="20"/>
          <w:szCs w:val="20"/>
        </w:rPr>
      </w:pPr>
    </w:p>
    <w:tbl>
      <w:tblPr>
        <w:tblStyle w:val="10"/>
        <w:tblpPr w:leftFromText="180" w:rightFromText="180" w:vertAnchor="page" w:horzAnchor="margin" w:tblpXSpec="center" w:tblpY="2401"/>
        <w:tblW w:w="16268" w:type="dxa"/>
        <w:tblInd w:w="0" w:type="dxa"/>
        <w:tblLayout w:type="fixed"/>
        <w:tblCellMar>
          <w:top w:w="0" w:type="dxa"/>
          <w:left w:w="108" w:type="dxa"/>
          <w:bottom w:w="0" w:type="dxa"/>
          <w:right w:w="108" w:type="dxa"/>
        </w:tblCellMar>
      </w:tblPr>
      <w:tblGrid>
        <w:gridCol w:w="1016"/>
        <w:gridCol w:w="816"/>
        <w:gridCol w:w="940"/>
        <w:gridCol w:w="940"/>
        <w:gridCol w:w="940"/>
        <w:gridCol w:w="940"/>
        <w:gridCol w:w="940"/>
        <w:gridCol w:w="1016"/>
        <w:gridCol w:w="1016"/>
        <w:gridCol w:w="760"/>
        <w:gridCol w:w="820"/>
        <w:gridCol w:w="561"/>
        <w:gridCol w:w="299"/>
        <w:gridCol w:w="551"/>
        <w:gridCol w:w="250"/>
        <w:gridCol w:w="766"/>
        <w:gridCol w:w="374"/>
        <w:gridCol w:w="311"/>
        <w:gridCol w:w="449"/>
        <w:gridCol w:w="236"/>
        <w:gridCol w:w="449"/>
        <w:gridCol w:w="816"/>
        <w:gridCol w:w="1062"/>
      </w:tblGrid>
      <w:tr>
        <w:tblPrEx>
          <w:tblLayout w:type="fixed"/>
          <w:tblCellMar>
            <w:top w:w="0" w:type="dxa"/>
            <w:left w:w="108" w:type="dxa"/>
            <w:bottom w:w="0" w:type="dxa"/>
            <w:right w:w="108" w:type="dxa"/>
          </w:tblCellMar>
        </w:tblPrEx>
        <w:trPr>
          <w:trHeight w:val="705" w:hRule="atLeast"/>
        </w:trPr>
        <w:tc>
          <w:tcPr>
            <w:tcW w:w="16268" w:type="dxa"/>
            <w:gridSpan w:val="23"/>
            <w:tcBorders>
              <w:top w:val="nil"/>
              <w:left w:val="nil"/>
              <w:bottom w:val="nil"/>
              <w:right w:val="nil"/>
            </w:tcBorders>
            <w:vAlign w:val="center"/>
          </w:tcPr>
          <w:p>
            <w:pPr>
              <w:widowControl/>
              <w:jc w:val="center"/>
              <w:rPr>
                <w:rFonts w:ascii="宋体" w:hAnsi="宋体" w:cs="Calibri"/>
                <w:b/>
                <w:bCs/>
                <w:color w:val="000000"/>
                <w:kern w:val="0"/>
                <w:sz w:val="48"/>
                <w:szCs w:val="48"/>
              </w:rPr>
            </w:pPr>
            <w:r>
              <w:rPr>
                <w:rFonts w:hint="eastAsia" w:ascii="宋体" w:hAnsi="宋体" w:cs="Calibri"/>
                <w:b/>
                <w:bCs/>
                <w:color w:val="000000"/>
                <w:kern w:val="0"/>
                <w:sz w:val="48"/>
                <w:szCs w:val="48"/>
              </w:rPr>
              <w:t>部门收入总表</w:t>
            </w:r>
          </w:p>
        </w:tc>
      </w:tr>
      <w:tr>
        <w:tblPrEx>
          <w:tblLayout w:type="fixed"/>
          <w:tblCellMar>
            <w:top w:w="0" w:type="dxa"/>
            <w:left w:w="108" w:type="dxa"/>
            <w:bottom w:w="0" w:type="dxa"/>
            <w:right w:w="108" w:type="dxa"/>
          </w:tblCellMar>
        </w:tblPrEx>
        <w:trPr>
          <w:trHeight w:val="285" w:hRule="atLeast"/>
        </w:trPr>
        <w:tc>
          <w:tcPr>
            <w:tcW w:w="1016" w:type="dxa"/>
            <w:tcBorders>
              <w:top w:val="nil"/>
              <w:left w:val="nil"/>
              <w:bottom w:val="single" w:color="000000" w:sz="4" w:space="0"/>
              <w:right w:val="nil"/>
            </w:tcBorders>
            <w:vAlign w:val="center"/>
          </w:tcPr>
          <w:p>
            <w:pPr>
              <w:widowControl/>
              <w:jc w:val="left"/>
              <w:rPr>
                <w:rFonts w:ascii="宋体" w:hAnsi="宋体" w:cs="Calibri"/>
                <w:color w:val="000000"/>
                <w:kern w:val="0"/>
                <w:sz w:val="16"/>
                <w:szCs w:val="16"/>
              </w:rPr>
            </w:pPr>
            <w:r>
              <w:rPr>
                <w:rFonts w:hint="eastAsia" w:ascii="宋体" w:hAnsi="宋体" w:cs="Calibri"/>
                <w:color w:val="000000"/>
                <w:kern w:val="0"/>
                <w:sz w:val="16"/>
                <w:szCs w:val="16"/>
              </w:rPr>
              <w:t>　</w:t>
            </w:r>
          </w:p>
        </w:tc>
        <w:tc>
          <w:tcPr>
            <w:tcW w:w="816"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940"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940"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940"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940"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940"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1016"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1016"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760"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820"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860" w:type="dxa"/>
            <w:gridSpan w:val="2"/>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801" w:type="dxa"/>
            <w:gridSpan w:val="2"/>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1140" w:type="dxa"/>
            <w:gridSpan w:val="2"/>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760" w:type="dxa"/>
            <w:gridSpan w:val="2"/>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236" w:type="dxa"/>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1265" w:type="dxa"/>
            <w:gridSpan w:val="2"/>
            <w:tcBorders>
              <w:top w:val="nil"/>
              <w:left w:val="nil"/>
              <w:bottom w:val="single" w:color="000000" w:sz="4" w:space="0"/>
              <w:right w:val="nil"/>
            </w:tcBorders>
            <w:vAlign w:val="bottom"/>
          </w:tcPr>
          <w:p>
            <w:pPr>
              <w:widowControl/>
              <w:jc w:val="left"/>
              <w:rPr>
                <w:rFonts w:cs="Calibri"/>
                <w:kern w:val="0"/>
                <w:sz w:val="22"/>
                <w:szCs w:val="22"/>
              </w:rPr>
            </w:pPr>
            <w:r>
              <w:rPr>
                <w:rFonts w:cs="Calibri"/>
                <w:kern w:val="0"/>
                <w:sz w:val="22"/>
                <w:szCs w:val="22"/>
              </w:rPr>
              <w:t>　</w:t>
            </w:r>
          </w:p>
        </w:tc>
        <w:tc>
          <w:tcPr>
            <w:tcW w:w="1062" w:type="dxa"/>
            <w:tcBorders>
              <w:top w:val="nil"/>
              <w:left w:val="nil"/>
              <w:bottom w:val="nil"/>
              <w:right w:val="nil"/>
            </w:tcBorders>
            <w:vAlign w:val="center"/>
          </w:tcPr>
          <w:p>
            <w:pPr>
              <w:widowControl/>
              <w:rPr>
                <w:rFonts w:ascii="宋体" w:hAnsi="宋体" w:cs="Calibri"/>
                <w:color w:val="000000"/>
                <w:kern w:val="0"/>
                <w:sz w:val="18"/>
                <w:szCs w:val="18"/>
              </w:rPr>
            </w:pPr>
            <w:r>
              <w:rPr>
                <w:rFonts w:hint="eastAsia" w:ascii="宋体" w:hAnsi="宋体" w:cs="Calibri"/>
                <w:color w:val="000000"/>
                <w:kern w:val="0"/>
                <w:sz w:val="18"/>
                <w:szCs w:val="18"/>
              </w:rPr>
              <w:t>单位：万元</w:t>
            </w:r>
          </w:p>
        </w:tc>
      </w:tr>
      <w:tr>
        <w:tblPrEx>
          <w:tblLayout w:type="fixed"/>
          <w:tblCellMar>
            <w:top w:w="0" w:type="dxa"/>
            <w:left w:w="108" w:type="dxa"/>
            <w:bottom w:w="0" w:type="dxa"/>
            <w:right w:w="108" w:type="dxa"/>
          </w:tblCellMar>
        </w:tblPrEx>
        <w:trPr>
          <w:trHeight w:val="360" w:hRule="atLeast"/>
        </w:trPr>
        <w:tc>
          <w:tcPr>
            <w:tcW w:w="101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合计</w:t>
            </w:r>
          </w:p>
        </w:tc>
        <w:tc>
          <w:tcPr>
            <w:tcW w:w="5516"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上年结转</w:t>
            </w:r>
          </w:p>
        </w:tc>
        <w:tc>
          <w:tcPr>
            <w:tcW w:w="8674" w:type="dxa"/>
            <w:gridSpan w:val="15"/>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本年收入</w:t>
            </w:r>
          </w:p>
        </w:tc>
        <w:tc>
          <w:tcPr>
            <w:tcW w:w="10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使用非财政拨款结余</w:t>
            </w:r>
          </w:p>
        </w:tc>
      </w:tr>
      <w:tr>
        <w:tblPrEx>
          <w:tblLayout w:type="fixed"/>
          <w:tblCellMar>
            <w:top w:w="0" w:type="dxa"/>
            <w:left w:w="108" w:type="dxa"/>
            <w:bottom w:w="0" w:type="dxa"/>
            <w:right w:w="108" w:type="dxa"/>
          </w:tblCellMar>
        </w:tblPrEx>
        <w:trPr>
          <w:trHeight w:val="360" w:hRule="atLeast"/>
        </w:trPr>
        <w:tc>
          <w:tcPr>
            <w:tcW w:w="10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81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小计</w:t>
            </w:r>
          </w:p>
        </w:tc>
        <w:tc>
          <w:tcPr>
            <w:tcW w:w="94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一般公共预算结转资金</w:t>
            </w:r>
          </w:p>
        </w:tc>
        <w:tc>
          <w:tcPr>
            <w:tcW w:w="94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政府性基金预算结转资金</w:t>
            </w:r>
          </w:p>
        </w:tc>
        <w:tc>
          <w:tcPr>
            <w:tcW w:w="94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国有资本经营预算结转资金</w:t>
            </w:r>
          </w:p>
        </w:tc>
        <w:tc>
          <w:tcPr>
            <w:tcW w:w="94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财政专户管理资金</w:t>
            </w:r>
          </w:p>
        </w:tc>
        <w:tc>
          <w:tcPr>
            <w:tcW w:w="94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其他资金</w:t>
            </w:r>
          </w:p>
        </w:tc>
        <w:tc>
          <w:tcPr>
            <w:tcW w:w="101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小计</w:t>
            </w:r>
          </w:p>
        </w:tc>
        <w:tc>
          <w:tcPr>
            <w:tcW w:w="101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一般公共预算拨款</w:t>
            </w:r>
          </w:p>
        </w:tc>
        <w:tc>
          <w:tcPr>
            <w:tcW w:w="7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政府性基金预算拨款</w:t>
            </w:r>
          </w:p>
        </w:tc>
        <w:tc>
          <w:tcPr>
            <w:tcW w:w="82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国有资本经营预算拨款</w:t>
            </w:r>
          </w:p>
        </w:tc>
        <w:tc>
          <w:tcPr>
            <w:tcW w:w="1411"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事业收入</w:t>
            </w:r>
          </w:p>
        </w:tc>
        <w:tc>
          <w:tcPr>
            <w:tcW w:w="1016"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事业单位经营收入</w:t>
            </w:r>
          </w:p>
        </w:tc>
        <w:tc>
          <w:tcPr>
            <w:tcW w:w="685"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上级补助</w:t>
            </w:r>
            <w:r>
              <w:rPr>
                <w:rFonts w:hint="eastAsia" w:ascii="宋体" w:hAnsi="宋体" w:cs="Calibri"/>
                <w:color w:val="000000"/>
                <w:kern w:val="0"/>
                <w:sz w:val="20"/>
                <w:szCs w:val="20"/>
              </w:rPr>
              <w:br w:type="textWrapping"/>
            </w:r>
            <w:r>
              <w:rPr>
                <w:rFonts w:hint="eastAsia" w:ascii="宋体" w:hAnsi="宋体" w:cs="Calibri"/>
                <w:color w:val="000000"/>
                <w:kern w:val="0"/>
                <w:sz w:val="20"/>
                <w:szCs w:val="20"/>
              </w:rPr>
              <w:t>收入</w:t>
            </w:r>
          </w:p>
        </w:tc>
        <w:tc>
          <w:tcPr>
            <w:tcW w:w="1134" w:type="dxa"/>
            <w:gridSpan w:val="3"/>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附属单位</w:t>
            </w:r>
            <w:r>
              <w:rPr>
                <w:rFonts w:hint="eastAsia" w:ascii="宋体" w:hAnsi="宋体" w:cs="Calibri"/>
                <w:color w:val="000000"/>
                <w:kern w:val="0"/>
                <w:sz w:val="20"/>
                <w:szCs w:val="20"/>
              </w:rPr>
              <w:br w:type="textWrapping"/>
            </w:r>
            <w:r>
              <w:rPr>
                <w:rFonts w:hint="eastAsia" w:ascii="宋体" w:hAnsi="宋体" w:cs="Calibri"/>
                <w:color w:val="000000"/>
                <w:kern w:val="0"/>
                <w:sz w:val="20"/>
                <w:szCs w:val="20"/>
              </w:rPr>
              <w:t>上缴收入</w:t>
            </w:r>
          </w:p>
        </w:tc>
        <w:tc>
          <w:tcPr>
            <w:tcW w:w="81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其他收入</w:t>
            </w:r>
          </w:p>
        </w:tc>
        <w:tc>
          <w:tcPr>
            <w:tcW w:w="10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r>
      <w:tr>
        <w:tblPrEx>
          <w:tblLayout w:type="fixed"/>
          <w:tblCellMar>
            <w:top w:w="0" w:type="dxa"/>
            <w:left w:w="108" w:type="dxa"/>
            <w:bottom w:w="0" w:type="dxa"/>
            <w:right w:w="108" w:type="dxa"/>
          </w:tblCellMar>
        </w:tblPrEx>
        <w:trPr>
          <w:trHeight w:val="540" w:hRule="atLeast"/>
        </w:trPr>
        <w:tc>
          <w:tcPr>
            <w:tcW w:w="10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8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9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9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9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9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9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10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10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7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561" w:type="dxa"/>
            <w:tcBorders>
              <w:top w:val="nil"/>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金额</w:t>
            </w:r>
          </w:p>
        </w:tc>
        <w:tc>
          <w:tcPr>
            <w:tcW w:w="850" w:type="dxa"/>
            <w:gridSpan w:val="2"/>
            <w:tcBorders>
              <w:top w:val="nil"/>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其中：财政专户</w:t>
            </w:r>
          </w:p>
        </w:tc>
        <w:tc>
          <w:tcPr>
            <w:tcW w:w="1016"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68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113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8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c>
          <w:tcPr>
            <w:tcW w:w="10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20"/>
                <w:szCs w:val="20"/>
              </w:rPr>
            </w:pPr>
          </w:p>
        </w:tc>
      </w:tr>
      <w:tr>
        <w:tblPrEx>
          <w:tblLayout w:type="fixed"/>
          <w:tblCellMar>
            <w:top w:w="0" w:type="dxa"/>
            <w:left w:w="108" w:type="dxa"/>
            <w:bottom w:w="0" w:type="dxa"/>
            <w:right w:w="108" w:type="dxa"/>
          </w:tblCellMar>
        </w:tblPrEx>
        <w:trPr>
          <w:trHeight w:val="675" w:hRule="atLeast"/>
        </w:trPr>
        <w:tc>
          <w:tcPr>
            <w:tcW w:w="1016" w:type="dxa"/>
            <w:tcBorders>
              <w:top w:val="nil"/>
              <w:left w:val="single" w:color="000000" w:sz="4" w:space="0"/>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3,760.91</w:t>
            </w:r>
          </w:p>
        </w:tc>
        <w:tc>
          <w:tcPr>
            <w:tcW w:w="81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662.74</w:t>
            </w:r>
          </w:p>
        </w:tc>
        <w:tc>
          <w:tcPr>
            <w:tcW w:w="94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34.65</w:t>
            </w:r>
          </w:p>
        </w:tc>
        <w:tc>
          <w:tcPr>
            <w:tcW w:w="94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94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94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94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628.09</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3,098.17</w:t>
            </w:r>
          </w:p>
        </w:tc>
        <w:tc>
          <w:tcPr>
            <w:tcW w:w="101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1,598.02</w:t>
            </w:r>
          </w:p>
        </w:tc>
        <w:tc>
          <w:tcPr>
            <w:tcW w:w="7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82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561"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016"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1,000.00</w:t>
            </w:r>
          </w:p>
        </w:tc>
        <w:tc>
          <w:tcPr>
            <w:tcW w:w="685"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gridSpan w:val="3"/>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81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500.15</w:t>
            </w:r>
          </w:p>
        </w:tc>
        <w:tc>
          <w:tcPr>
            <w:tcW w:w="1062"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bl>
    <w:p>
      <w:pPr>
        <w:widowControl/>
        <w:ind w:right="1400"/>
        <w:jc w:val="right"/>
        <w:rPr>
          <w:rFonts w:ascii="宋体" w:hAnsi="宋体" w:eastAsia="宋体" w:cs="Calibri"/>
          <w:color w:val="000000"/>
          <w:kern w:val="0"/>
          <w:sz w:val="20"/>
          <w:szCs w:val="20"/>
        </w:rPr>
        <w:sectPr>
          <w:pgSz w:w="16838" w:h="11906" w:orient="landscape"/>
          <w:pgMar w:top="567" w:right="1440" w:bottom="567" w:left="1440" w:header="624" w:footer="255" w:gutter="0"/>
          <w:cols w:space="720" w:num="1"/>
          <w:docGrid w:type="lines" w:linePitch="319" w:charSpace="0"/>
        </w:sectPr>
      </w:pPr>
    </w:p>
    <w:tbl>
      <w:tblPr>
        <w:tblStyle w:val="10"/>
        <w:tblW w:w="13482" w:type="dxa"/>
        <w:jc w:val="center"/>
        <w:tblInd w:w="0" w:type="dxa"/>
        <w:tblLayout w:type="fixed"/>
        <w:tblCellMar>
          <w:top w:w="15" w:type="dxa"/>
          <w:left w:w="15" w:type="dxa"/>
          <w:bottom w:w="15" w:type="dxa"/>
          <w:right w:w="15" w:type="dxa"/>
        </w:tblCellMar>
      </w:tblPr>
      <w:tblGrid>
        <w:gridCol w:w="1845"/>
        <w:gridCol w:w="3723"/>
        <w:gridCol w:w="2069"/>
        <w:gridCol w:w="1191"/>
        <w:gridCol w:w="1192"/>
        <w:gridCol w:w="1191"/>
        <w:gridCol w:w="600"/>
        <w:gridCol w:w="1671"/>
      </w:tblGrid>
      <w:tr>
        <w:tblPrEx>
          <w:tblLayout w:type="fixed"/>
          <w:tblCellMar>
            <w:top w:w="15" w:type="dxa"/>
            <w:left w:w="15" w:type="dxa"/>
            <w:bottom w:w="15" w:type="dxa"/>
            <w:right w:w="15" w:type="dxa"/>
          </w:tblCellMar>
        </w:tblPrEx>
        <w:trPr>
          <w:trHeight w:val="57" w:hRule="atLeast"/>
          <w:jc w:val="center"/>
        </w:trPr>
        <w:tc>
          <w:tcPr>
            <w:tcW w:w="1845" w:type="dxa"/>
            <w:vAlign w:val="center"/>
          </w:tcPr>
          <w:p>
            <w:pPr>
              <w:rPr>
                <w:rFonts w:ascii="宋体" w:hAnsi="宋体" w:cs="宋体"/>
                <w:color w:val="000000"/>
                <w:sz w:val="22"/>
                <w:szCs w:val="22"/>
              </w:rPr>
            </w:pPr>
          </w:p>
        </w:tc>
        <w:tc>
          <w:tcPr>
            <w:tcW w:w="3723" w:type="dxa"/>
            <w:vAlign w:val="center"/>
          </w:tcPr>
          <w:p>
            <w:pPr>
              <w:rPr>
                <w:rFonts w:ascii="宋体" w:hAnsi="宋体" w:cs="宋体"/>
                <w:color w:val="000000"/>
                <w:sz w:val="22"/>
                <w:szCs w:val="22"/>
              </w:rPr>
            </w:pPr>
          </w:p>
        </w:tc>
        <w:tc>
          <w:tcPr>
            <w:tcW w:w="2069" w:type="dxa"/>
            <w:vAlign w:val="center"/>
          </w:tcPr>
          <w:p>
            <w:pPr>
              <w:rPr>
                <w:rFonts w:ascii="宋体" w:hAnsi="宋体" w:cs="宋体"/>
                <w:color w:val="000000"/>
                <w:sz w:val="22"/>
                <w:szCs w:val="22"/>
              </w:rPr>
            </w:pPr>
          </w:p>
        </w:tc>
        <w:tc>
          <w:tcPr>
            <w:tcW w:w="1191" w:type="dxa"/>
            <w:vAlign w:val="center"/>
          </w:tcPr>
          <w:p>
            <w:pPr>
              <w:rPr>
                <w:rFonts w:ascii="宋体" w:hAnsi="宋体" w:cs="宋体"/>
                <w:color w:val="000000"/>
                <w:sz w:val="22"/>
                <w:szCs w:val="22"/>
              </w:rPr>
            </w:pPr>
          </w:p>
        </w:tc>
        <w:tc>
          <w:tcPr>
            <w:tcW w:w="1192" w:type="dxa"/>
            <w:vAlign w:val="center"/>
          </w:tcPr>
          <w:p>
            <w:pPr>
              <w:rPr>
                <w:rFonts w:ascii="宋体" w:hAnsi="宋体" w:cs="宋体"/>
                <w:color w:val="000000"/>
                <w:sz w:val="22"/>
                <w:szCs w:val="22"/>
              </w:rPr>
            </w:pPr>
          </w:p>
        </w:tc>
        <w:tc>
          <w:tcPr>
            <w:tcW w:w="1191" w:type="dxa"/>
            <w:vAlign w:val="center"/>
          </w:tcPr>
          <w:p>
            <w:pPr>
              <w:rPr>
                <w:rFonts w:ascii="宋体" w:hAnsi="宋体" w:cs="宋体"/>
                <w:color w:val="000000"/>
                <w:sz w:val="22"/>
                <w:szCs w:val="22"/>
              </w:rPr>
            </w:pPr>
          </w:p>
        </w:tc>
        <w:tc>
          <w:tcPr>
            <w:tcW w:w="600" w:type="dxa"/>
            <w:vAlign w:val="center"/>
          </w:tcPr>
          <w:p>
            <w:pPr>
              <w:rPr>
                <w:rFonts w:ascii="宋体" w:hAnsi="宋体" w:cs="宋体"/>
                <w:color w:val="000000"/>
                <w:sz w:val="22"/>
                <w:szCs w:val="22"/>
              </w:rPr>
            </w:pPr>
          </w:p>
        </w:tc>
        <w:tc>
          <w:tcPr>
            <w:tcW w:w="1671" w:type="dxa"/>
            <w:vAlign w:val="center"/>
          </w:tcPr>
          <w:p>
            <w:pPr>
              <w:jc w:val="right"/>
              <w:rPr>
                <w:rFonts w:ascii="宋体" w:hAnsi="宋体" w:cs="宋体"/>
                <w:color w:val="000000"/>
                <w:sz w:val="22"/>
                <w:szCs w:val="22"/>
              </w:rPr>
            </w:pPr>
            <w:r>
              <w:rPr>
                <w:rFonts w:hint="eastAsia" w:ascii="宋体" w:hAnsi="宋体" w:cs="宋体"/>
                <w:color w:val="000000"/>
                <w:szCs w:val="21"/>
              </w:rPr>
              <w:t>部门公开表3</w:t>
            </w:r>
          </w:p>
        </w:tc>
      </w:tr>
      <w:tr>
        <w:tblPrEx>
          <w:tblLayout w:type="fixed"/>
          <w:tblCellMar>
            <w:top w:w="15" w:type="dxa"/>
            <w:left w:w="15" w:type="dxa"/>
            <w:bottom w:w="15" w:type="dxa"/>
            <w:right w:w="15" w:type="dxa"/>
          </w:tblCellMar>
        </w:tblPrEx>
        <w:trPr>
          <w:trHeight w:val="533" w:hRule="atLeast"/>
          <w:jc w:val="center"/>
        </w:trPr>
        <w:tc>
          <w:tcPr>
            <w:tcW w:w="13482" w:type="dxa"/>
            <w:gridSpan w:val="8"/>
            <w:vAlign w:val="center"/>
          </w:tcPr>
          <w:tbl>
            <w:tblPr>
              <w:tblStyle w:val="10"/>
              <w:tblW w:w="13467" w:type="dxa"/>
              <w:tblInd w:w="0" w:type="dxa"/>
              <w:tblLayout w:type="fixed"/>
              <w:tblCellMar>
                <w:top w:w="0" w:type="dxa"/>
                <w:left w:w="108" w:type="dxa"/>
                <w:bottom w:w="0" w:type="dxa"/>
                <w:right w:w="108" w:type="dxa"/>
              </w:tblCellMar>
            </w:tblPr>
            <w:tblGrid>
              <w:gridCol w:w="1420"/>
              <w:gridCol w:w="3825"/>
              <w:gridCol w:w="1134"/>
              <w:gridCol w:w="1701"/>
              <w:gridCol w:w="1276"/>
              <w:gridCol w:w="1134"/>
              <w:gridCol w:w="1417"/>
              <w:gridCol w:w="1560"/>
            </w:tblGrid>
            <w:tr>
              <w:tblPrEx>
                <w:tblLayout w:type="fixed"/>
                <w:tblCellMar>
                  <w:top w:w="0" w:type="dxa"/>
                  <w:left w:w="108" w:type="dxa"/>
                  <w:bottom w:w="0" w:type="dxa"/>
                  <w:right w:w="108" w:type="dxa"/>
                </w:tblCellMar>
              </w:tblPrEx>
              <w:trPr>
                <w:trHeight w:val="615" w:hRule="atLeast"/>
              </w:trPr>
              <w:tc>
                <w:tcPr>
                  <w:tcW w:w="13467" w:type="dxa"/>
                  <w:gridSpan w:val="8"/>
                  <w:tcBorders>
                    <w:top w:val="nil"/>
                    <w:left w:val="nil"/>
                    <w:bottom w:val="nil"/>
                    <w:right w:val="nil"/>
                  </w:tcBorders>
                  <w:vAlign w:val="center"/>
                </w:tcPr>
                <w:p>
                  <w:pPr>
                    <w:widowControl/>
                    <w:jc w:val="center"/>
                    <w:rPr>
                      <w:rFonts w:ascii="宋体" w:hAnsi="宋体" w:cs="Calibri"/>
                      <w:b/>
                      <w:bCs/>
                      <w:color w:val="000000"/>
                      <w:kern w:val="0"/>
                      <w:sz w:val="20"/>
                      <w:szCs w:val="20"/>
                    </w:rPr>
                  </w:pPr>
                  <w:r>
                    <w:rPr>
                      <w:rFonts w:hint="eastAsia" w:ascii="宋体" w:hAnsi="宋体" w:cs="Calibri"/>
                      <w:b/>
                      <w:bCs/>
                      <w:color w:val="000000"/>
                      <w:kern w:val="0"/>
                      <w:sz w:val="48"/>
                      <w:szCs w:val="48"/>
                    </w:rPr>
                    <w:t>部门支出总表</w:t>
                  </w:r>
                </w:p>
              </w:tc>
            </w:tr>
            <w:tr>
              <w:tblPrEx>
                <w:tblLayout w:type="fixed"/>
                <w:tblCellMar>
                  <w:top w:w="0" w:type="dxa"/>
                  <w:left w:w="108" w:type="dxa"/>
                  <w:bottom w:w="0" w:type="dxa"/>
                  <w:right w:w="108" w:type="dxa"/>
                </w:tblCellMar>
              </w:tblPrEx>
              <w:trPr>
                <w:trHeight w:val="315" w:hRule="atLeast"/>
              </w:trPr>
              <w:tc>
                <w:tcPr>
                  <w:tcW w:w="11907" w:type="dxa"/>
                  <w:gridSpan w:val="7"/>
                  <w:tcBorders>
                    <w:top w:val="nil"/>
                    <w:left w:val="nil"/>
                    <w:bottom w:val="nil"/>
                    <w:right w:val="nil"/>
                  </w:tcBorders>
                  <w:vAlign w:val="center"/>
                </w:tcPr>
                <w:p>
                  <w:pPr>
                    <w:widowControl/>
                    <w:jc w:val="left"/>
                    <w:rPr>
                      <w:rFonts w:ascii="宋体" w:hAnsi="宋体" w:cs="Calibri"/>
                      <w:color w:val="000000"/>
                      <w:kern w:val="0"/>
                      <w:sz w:val="20"/>
                      <w:szCs w:val="20"/>
                    </w:rPr>
                  </w:pPr>
                </w:p>
              </w:tc>
              <w:tc>
                <w:tcPr>
                  <w:tcW w:w="1560" w:type="dxa"/>
                  <w:tcBorders>
                    <w:top w:val="nil"/>
                    <w:left w:val="nil"/>
                    <w:bottom w:val="nil"/>
                    <w:right w:val="nil"/>
                  </w:tcBorders>
                  <w:vAlign w:val="center"/>
                </w:tcPr>
                <w:p>
                  <w:pPr>
                    <w:widowControl/>
                    <w:jc w:val="right"/>
                    <w:rPr>
                      <w:rFonts w:ascii="宋体" w:hAnsi="宋体" w:cs="Calibri"/>
                      <w:color w:val="000000"/>
                      <w:kern w:val="0"/>
                      <w:sz w:val="20"/>
                      <w:szCs w:val="20"/>
                    </w:rPr>
                  </w:pPr>
                  <w:r>
                    <w:rPr>
                      <w:rFonts w:hint="eastAsia" w:ascii="宋体" w:hAnsi="宋体" w:cs="Calibri"/>
                      <w:color w:val="000000"/>
                      <w:kern w:val="0"/>
                      <w:sz w:val="20"/>
                      <w:szCs w:val="20"/>
                    </w:rPr>
                    <w:t>单位：万元</w:t>
                  </w:r>
                </w:p>
              </w:tc>
            </w:tr>
            <w:tr>
              <w:tblPrEx>
                <w:tblLayout w:type="fixed"/>
                <w:tblCellMar>
                  <w:top w:w="0" w:type="dxa"/>
                  <w:left w:w="108" w:type="dxa"/>
                  <w:bottom w:w="0" w:type="dxa"/>
                  <w:right w:w="108" w:type="dxa"/>
                </w:tblCellMar>
              </w:tblPrEx>
              <w:trPr>
                <w:trHeight w:val="525" w:hRule="atLeast"/>
              </w:trPr>
              <w:tc>
                <w:tcPr>
                  <w:tcW w:w="14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科目编码</w:t>
                  </w:r>
                </w:p>
              </w:tc>
              <w:tc>
                <w:tcPr>
                  <w:tcW w:w="38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科目名称</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合计</w:t>
                  </w:r>
                </w:p>
              </w:tc>
              <w:tc>
                <w:tcPr>
                  <w:tcW w:w="170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基本支出</w:t>
                  </w:r>
                </w:p>
              </w:tc>
              <w:tc>
                <w:tcPr>
                  <w:tcW w:w="127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项目支出</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上缴上级支出</w:t>
                  </w:r>
                </w:p>
              </w:tc>
              <w:tc>
                <w:tcPr>
                  <w:tcW w:w="141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事业单位经营支出</w:t>
                  </w: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对下级单位</w:t>
                  </w:r>
                  <w:r>
                    <w:rPr>
                      <w:rFonts w:hint="eastAsia" w:ascii="宋体" w:hAnsi="宋体" w:cs="Calibri"/>
                      <w:color w:val="000000"/>
                      <w:kern w:val="0"/>
                      <w:sz w:val="20"/>
                      <w:szCs w:val="20"/>
                    </w:rPr>
                    <w:br w:type="textWrapping"/>
                  </w:r>
                  <w:r>
                    <w:rPr>
                      <w:rFonts w:hint="eastAsia" w:ascii="宋体" w:hAnsi="宋体" w:cs="Calibri"/>
                      <w:color w:val="000000"/>
                      <w:kern w:val="0"/>
                      <w:sz w:val="20"/>
                      <w:szCs w:val="20"/>
                    </w:rPr>
                    <w:t>补助支出</w:t>
                  </w:r>
                </w:p>
              </w:tc>
            </w:tr>
            <w:tr>
              <w:tblPrEx>
                <w:tblLayout w:type="fixed"/>
                <w:tblCellMar>
                  <w:top w:w="0" w:type="dxa"/>
                  <w:left w:w="108" w:type="dxa"/>
                  <w:bottom w:w="0" w:type="dxa"/>
                  <w:right w:w="108" w:type="dxa"/>
                </w:tblCellMar>
              </w:tblPrEx>
              <w:trPr>
                <w:trHeight w:val="302"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208</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社会保障和就业支出</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68.80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68.80</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91"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20805</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 xml:space="preserve">  行政事业单位养老支出</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68.80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68.80</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269"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2080501</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xml:space="preserve">    行政单位离退休</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8.89</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8.89</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193"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2080505</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xml:space="preserve">    机关事业单位基本养老保险缴费支出</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39.94</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39.94</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284"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2080506</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xml:space="preserve">    机关事业单位职业年金缴费支出</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19.97</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19.97</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87"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210</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卫生健康支出</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28.81</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28.81</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279"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21011</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 xml:space="preserve">  行政事业单位医疗</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28.81</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28.81</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265"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2101101</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xml:space="preserve">    行政单位医疗</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28.81</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28.81</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33"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215</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资源勘探工业信息等支出</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2,728.91</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848.93</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1,079.98</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800.00</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267"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21505</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 xml:space="preserve">  工业和信息产业监管</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2,728.91</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848.93</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1,079.98</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800.00</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72"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221</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住房保障支出</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107.75</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107.75</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277"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22102</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b/>
                      <w:bCs/>
                      <w:kern w:val="0"/>
                      <w:sz w:val="20"/>
                      <w:szCs w:val="20"/>
                    </w:rPr>
                  </w:pPr>
                  <w:r>
                    <w:rPr>
                      <w:rFonts w:hint="eastAsia" w:ascii="宋体" w:hAnsi="宋体" w:cs="Calibri"/>
                      <w:b/>
                      <w:bCs/>
                      <w:kern w:val="0"/>
                      <w:sz w:val="20"/>
                      <w:szCs w:val="20"/>
                    </w:rPr>
                    <w:t xml:space="preserve">  住房改革支出</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107.75</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b/>
                      <w:kern w:val="0"/>
                      <w:sz w:val="20"/>
                      <w:szCs w:val="20"/>
                    </w:rPr>
                  </w:pPr>
                  <w:r>
                    <w:rPr>
                      <w:rFonts w:hint="eastAsia" w:ascii="宋体" w:hAnsi="宋体" w:cs="Calibri"/>
                      <w:b/>
                      <w:kern w:val="0"/>
                      <w:sz w:val="20"/>
                      <w:szCs w:val="20"/>
                    </w:rPr>
                    <w:t>107.75</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247"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2210201</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xml:space="preserve">    住房公积金</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62.25</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62.25</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52" w:hRule="atLeast"/>
              </w:trPr>
              <w:tc>
                <w:tcPr>
                  <w:tcW w:w="1420" w:type="dxa"/>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2210203</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xml:space="preserve">    购房补贴</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45.50</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45.50</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450" w:hRule="atLeast"/>
              </w:trPr>
              <w:tc>
                <w:tcPr>
                  <w:tcW w:w="142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b/>
                      <w:bCs/>
                      <w:kern w:val="0"/>
                      <w:sz w:val="20"/>
                      <w:szCs w:val="20"/>
                    </w:rPr>
                  </w:pPr>
                  <w:r>
                    <w:rPr>
                      <w:rFonts w:hint="eastAsia" w:ascii="宋体" w:hAnsi="宋体" w:cs="Calibri"/>
                      <w:b/>
                      <w:bCs/>
                      <w:kern w:val="0"/>
                      <w:sz w:val="20"/>
                      <w:szCs w:val="20"/>
                    </w:rPr>
                    <w:t>　</w:t>
                  </w:r>
                </w:p>
              </w:tc>
              <w:tc>
                <w:tcPr>
                  <w:tcW w:w="3825" w:type="dxa"/>
                  <w:tcBorders>
                    <w:top w:val="nil"/>
                    <w:left w:val="nil"/>
                    <w:bottom w:val="single" w:color="000000" w:sz="4" w:space="0"/>
                    <w:right w:val="single" w:color="000000" w:sz="4" w:space="0"/>
                  </w:tcBorders>
                  <w:vAlign w:val="center"/>
                </w:tcPr>
                <w:p>
                  <w:pPr>
                    <w:widowControl/>
                    <w:jc w:val="center"/>
                    <w:rPr>
                      <w:rFonts w:ascii="宋体" w:hAnsi="宋体" w:cs="Calibri"/>
                      <w:b/>
                      <w:bCs/>
                      <w:kern w:val="0"/>
                      <w:sz w:val="20"/>
                      <w:szCs w:val="20"/>
                    </w:rPr>
                  </w:pPr>
                  <w:r>
                    <w:rPr>
                      <w:rFonts w:hint="eastAsia" w:ascii="宋体" w:hAnsi="宋体" w:cs="Calibri"/>
                      <w:b/>
                      <w:bCs/>
                      <w:kern w:val="0"/>
                      <w:sz w:val="20"/>
                      <w:szCs w:val="20"/>
                    </w:rPr>
                    <w:t>合        计</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bCs/>
                      <w:kern w:val="0"/>
                      <w:sz w:val="20"/>
                      <w:szCs w:val="20"/>
                    </w:rPr>
                  </w:pPr>
                  <w:r>
                    <w:rPr>
                      <w:rFonts w:hint="eastAsia" w:ascii="宋体" w:hAnsi="宋体" w:cs="Calibri"/>
                      <w:b/>
                      <w:bCs/>
                      <w:kern w:val="0"/>
                      <w:sz w:val="20"/>
                      <w:szCs w:val="20"/>
                    </w:rPr>
                    <w:t>2,934.27</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Calibri"/>
                      <w:b/>
                      <w:bCs/>
                      <w:kern w:val="0"/>
                      <w:sz w:val="20"/>
                      <w:szCs w:val="20"/>
                    </w:rPr>
                  </w:pPr>
                  <w:r>
                    <w:rPr>
                      <w:rFonts w:hint="eastAsia" w:ascii="宋体" w:hAnsi="宋体" w:cs="Calibri"/>
                      <w:b/>
                      <w:bCs/>
                      <w:kern w:val="0"/>
                      <w:sz w:val="20"/>
                      <w:szCs w:val="20"/>
                    </w:rPr>
                    <w:t>1,054.29</w:t>
                  </w:r>
                </w:p>
              </w:tc>
              <w:tc>
                <w:tcPr>
                  <w:tcW w:w="1276" w:type="dxa"/>
                  <w:tcBorders>
                    <w:top w:val="nil"/>
                    <w:left w:val="nil"/>
                    <w:bottom w:val="single" w:color="000000" w:sz="4" w:space="0"/>
                    <w:right w:val="single" w:color="000000" w:sz="4" w:space="0"/>
                  </w:tcBorders>
                  <w:vAlign w:val="center"/>
                </w:tcPr>
                <w:p>
                  <w:pPr>
                    <w:widowControl/>
                    <w:jc w:val="right"/>
                    <w:rPr>
                      <w:rFonts w:ascii="宋体" w:hAnsi="宋体" w:cs="Calibri"/>
                      <w:b/>
                      <w:bCs/>
                      <w:kern w:val="0"/>
                      <w:sz w:val="20"/>
                      <w:szCs w:val="20"/>
                    </w:rPr>
                  </w:pPr>
                  <w:r>
                    <w:rPr>
                      <w:rFonts w:hint="eastAsia" w:ascii="宋体" w:hAnsi="宋体" w:cs="Calibri"/>
                      <w:b/>
                      <w:bCs/>
                      <w:kern w:val="0"/>
                      <w:sz w:val="20"/>
                      <w:szCs w:val="20"/>
                    </w:rPr>
                    <w:t>1,079.98</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Calibri"/>
                      <w:b/>
                      <w:bCs/>
                      <w:kern w:val="0"/>
                      <w:sz w:val="20"/>
                      <w:szCs w:val="20"/>
                    </w:rPr>
                  </w:pPr>
                  <w:r>
                    <w:rPr>
                      <w:rFonts w:hint="eastAsia" w:ascii="宋体" w:hAnsi="宋体" w:cs="Calibri"/>
                      <w:b/>
                      <w:bCs/>
                      <w:kern w:val="0"/>
                      <w:sz w:val="20"/>
                      <w:szCs w:val="20"/>
                    </w:rPr>
                    <w:t>　</w:t>
                  </w:r>
                </w:p>
              </w:tc>
              <w:tc>
                <w:tcPr>
                  <w:tcW w:w="1417" w:type="dxa"/>
                  <w:tcBorders>
                    <w:top w:val="nil"/>
                    <w:left w:val="nil"/>
                    <w:bottom w:val="single" w:color="000000" w:sz="4" w:space="0"/>
                    <w:right w:val="single" w:color="000000" w:sz="4" w:space="0"/>
                  </w:tcBorders>
                  <w:vAlign w:val="center"/>
                </w:tcPr>
                <w:p>
                  <w:pPr>
                    <w:widowControl/>
                    <w:jc w:val="right"/>
                    <w:rPr>
                      <w:rFonts w:ascii="宋体" w:hAnsi="宋体" w:cs="Calibri"/>
                      <w:b/>
                      <w:bCs/>
                      <w:kern w:val="0"/>
                      <w:sz w:val="20"/>
                      <w:szCs w:val="20"/>
                    </w:rPr>
                  </w:pPr>
                  <w:r>
                    <w:rPr>
                      <w:rFonts w:hint="eastAsia" w:ascii="宋体" w:hAnsi="宋体" w:cs="Calibri"/>
                      <w:b/>
                      <w:bCs/>
                      <w:kern w:val="0"/>
                      <w:sz w:val="20"/>
                      <w:szCs w:val="20"/>
                    </w:rPr>
                    <w:t>800.00</w:t>
                  </w:r>
                </w:p>
              </w:tc>
              <w:tc>
                <w:tcPr>
                  <w:tcW w:w="1560" w:type="dxa"/>
                  <w:tcBorders>
                    <w:top w:val="nil"/>
                    <w:left w:val="nil"/>
                    <w:bottom w:val="single" w:color="000000" w:sz="4" w:space="0"/>
                    <w:right w:val="single" w:color="000000" w:sz="4" w:space="0"/>
                  </w:tcBorders>
                  <w:vAlign w:val="center"/>
                </w:tcPr>
                <w:p>
                  <w:pPr>
                    <w:widowControl/>
                    <w:jc w:val="right"/>
                    <w:rPr>
                      <w:rFonts w:ascii="宋体" w:hAnsi="宋体" w:cs="Calibri"/>
                      <w:b/>
                      <w:bCs/>
                      <w:kern w:val="0"/>
                      <w:sz w:val="20"/>
                      <w:szCs w:val="20"/>
                    </w:rPr>
                  </w:pPr>
                  <w:r>
                    <w:rPr>
                      <w:rFonts w:hint="eastAsia" w:ascii="宋体" w:hAnsi="宋体" w:cs="Calibri"/>
                      <w:b/>
                      <w:bCs/>
                      <w:kern w:val="0"/>
                      <w:sz w:val="20"/>
                      <w:szCs w:val="20"/>
                    </w:rPr>
                    <w:t>　</w:t>
                  </w:r>
                </w:p>
              </w:tc>
            </w:tr>
          </w:tbl>
          <w:p>
            <w:pPr>
              <w:widowControl/>
              <w:jc w:val="center"/>
              <w:textAlignment w:val="center"/>
              <w:rPr>
                <w:rFonts w:ascii="宋体" w:hAnsi="宋体"/>
                <w:color w:val="000000"/>
                <w:sz w:val="20"/>
                <w:szCs w:val="20"/>
              </w:rPr>
            </w:pPr>
          </w:p>
        </w:tc>
      </w:tr>
    </w:tbl>
    <w:p>
      <w:pPr>
        <w:pStyle w:val="11"/>
        <w:widowControl/>
        <w:tabs>
          <w:tab w:val="left" w:pos="240"/>
          <w:tab w:val="center" w:pos="4420"/>
        </w:tabs>
        <w:spacing w:beforeAutospacing="0" w:afterAutospacing="0" w:line="27" w:lineRule="atLeast"/>
        <w:rPr>
          <w:sz w:val="21"/>
        </w:rPr>
        <w:sectPr>
          <w:pgSz w:w="16838" w:h="11906" w:orient="landscape"/>
          <w:pgMar w:top="1803" w:right="1440" w:bottom="1803" w:left="1440" w:header="851" w:footer="992" w:gutter="0"/>
          <w:cols w:space="720" w:num="1"/>
          <w:docGrid w:type="lines" w:linePitch="319" w:charSpace="0"/>
        </w:sectPr>
      </w:pPr>
    </w:p>
    <w:p>
      <w:pPr>
        <w:pStyle w:val="11"/>
        <w:widowControl/>
        <w:tabs>
          <w:tab w:val="left" w:pos="240"/>
          <w:tab w:val="center" w:pos="4420"/>
        </w:tabs>
        <w:spacing w:beforeAutospacing="0" w:afterAutospacing="0" w:line="27" w:lineRule="atLeast"/>
        <w:rPr>
          <w:rFonts w:ascii="宋体" w:hAnsi="宋体" w:cs="宋体"/>
          <w:color w:val="070707"/>
        </w:rPr>
      </w:pPr>
      <w:r>
        <w:rPr>
          <w:rFonts w:hint="eastAsia" w:ascii="宋体" w:hAnsi="宋体" w:cs="宋体"/>
          <w:color w:val="070707"/>
        </w:rPr>
        <w:tab/>
      </w:r>
    </w:p>
    <w:tbl>
      <w:tblPr>
        <w:tblStyle w:val="10"/>
        <w:tblW w:w="16480" w:type="dxa"/>
        <w:tblInd w:w="-1249" w:type="dxa"/>
        <w:tblLayout w:type="fixed"/>
        <w:tblCellMar>
          <w:top w:w="15" w:type="dxa"/>
          <w:left w:w="15" w:type="dxa"/>
          <w:bottom w:w="15" w:type="dxa"/>
          <w:right w:w="15" w:type="dxa"/>
        </w:tblCellMar>
      </w:tblPr>
      <w:tblGrid>
        <w:gridCol w:w="3647"/>
        <w:gridCol w:w="473"/>
        <w:gridCol w:w="3217"/>
        <w:gridCol w:w="903"/>
        <w:gridCol w:w="2379"/>
        <w:gridCol w:w="1741"/>
        <w:gridCol w:w="4072"/>
        <w:gridCol w:w="48"/>
      </w:tblGrid>
      <w:tr>
        <w:tblPrEx>
          <w:tblLayout w:type="fixed"/>
          <w:tblCellMar>
            <w:top w:w="15" w:type="dxa"/>
            <w:left w:w="15" w:type="dxa"/>
            <w:bottom w:w="15" w:type="dxa"/>
            <w:right w:w="15" w:type="dxa"/>
          </w:tblCellMar>
        </w:tblPrEx>
        <w:trPr>
          <w:gridAfter w:val="1"/>
          <w:wAfter w:w="48" w:type="dxa"/>
          <w:trHeight w:val="300" w:hRule="atLeast"/>
        </w:trPr>
        <w:tc>
          <w:tcPr>
            <w:tcW w:w="3647" w:type="dxa"/>
            <w:vAlign w:val="center"/>
          </w:tcPr>
          <w:p>
            <w:pPr>
              <w:rPr>
                <w:rFonts w:ascii="宋体" w:hAnsi="宋体" w:cs="宋体"/>
                <w:color w:val="000000"/>
                <w:sz w:val="18"/>
                <w:szCs w:val="18"/>
              </w:rPr>
            </w:pPr>
          </w:p>
        </w:tc>
        <w:tc>
          <w:tcPr>
            <w:tcW w:w="3690" w:type="dxa"/>
            <w:gridSpan w:val="2"/>
            <w:vAlign w:val="center"/>
          </w:tcPr>
          <w:p>
            <w:pPr>
              <w:rPr>
                <w:rFonts w:ascii="宋体" w:hAnsi="宋体" w:cs="宋体"/>
                <w:color w:val="000000"/>
                <w:sz w:val="24"/>
              </w:rPr>
            </w:pPr>
          </w:p>
        </w:tc>
        <w:tc>
          <w:tcPr>
            <w:tcW w:w="3282" w:type="dxa"/>
            <w:gridSpan w:val="2"/>
            <w:vAlign w:val="center"/>
          </w:tcPr>
          <w:p>
            <w:pPr>
              <w:rPr>
                <w:rFonts w:ascii="宋体" w:hAnsi="宋体" w:cs="宋体"/>
                <w:color w:val="000000"/>
                <w:sz w:val="24"/>
              </w:rPr>
            </w:pPr>
          </w:p>
        </w:tc>
        <w:tc>
          <w:tcPr>
            <w:tcW w:w="5813" w:type="dxa"/>
            <w:gridSpan w:val="2"/>
            <w:vAlign w:val="center"/>
          </w:tcPr>
          <w:p>
            <w:pPr>
              <w:widowControl/>
              <w:wordWrap w:val="0"/>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   部门公开表4</w:t>
            </w:r>
          </w:p>
        </w:tc>
      </w:tr>
      <w:tr>
        <w:tblPrEx>
          <w:tblLayout w:type="fixed"/>
          <w:tblCellMar>
            <w:top w:w="0" w:type="dxa"/>
            <w:left w:w="108" w:type="dxa"/>
            <w:bottom w:w="0" w:type="dxa"/>
            <w:right w:w="108" w:type="dxa"/>
          </w:tblCellMar>
        </w:tblPrEx>
        <w:trPr>
          <w:trHeight w:val="660" w:hRule="atLeast"/>
        </w:trPr>
        <w:tc>
          <w:tcPr>
            <w:tcW w:w="16480" w:type="dxa"/>
            <w:gridSpan w:val="8"/>
            <w:tcBorders>
              <w:top w:val="nil"/>
              <w:left w:val="nil"/>
              <w:bottom w:val="nil"/>
              <w:right w:val="nil"/>
            </w:tcBorders>
            <w:vAlign w:val="center"/>
          </w:tcPr>
          <w:p>
            <w:pPr>
              <w:widowControl/>
              <w:jc w:val="center"/>
              <w:rPr>
                <w:rFonts w:ascii="宋体" w:hAnsi="宋体" w:cs="Calibri"/>
                <w:b/>
                <w:bCs/>
                <w:color w:val="000000"/>
                <w:kern w:val="0"/>
                <w:sz w:val="48"/>
                <w:szCs w:val="48"/>
              </w:rPr>
            </w:pPr>
            <w:r>
              <w:rPr>
                <w:rFonts w:hint="eastAsia" w:ascii="宋体" w:hAnsi="宋体" w:cs="Calibri"/>
                <w:b/>
                <w:bCs/>
                <w:color w:val="000000"/>
                <w:kern w:val="0"/>
                <w:sz w:val="48"/>
                <w:szCs w:val="48"/>
              </w:rPr>
              <w:t>财政拨款收支总表</w:t>
            </w:r>
          </w:p>
        </w:tc>
      </w:tr>
      <w:tr>
        <w:tblPrEx>
          <w:tblLayout w:type="fixed"/>
          <w:tblCellMar>
            <w:top w:w="0" w:type="dxa"/>
            <w:left w:w="108" w:type="dxa"/>
            <w:bottom w:w="0" w:type="dxa"/>
            <w:right w:w="108" w:type="dxa"/>
          </w:tblCellMar>
        </w:tblPrEx>
        <w:trPr>
          <w:trHeight w:val="300" w:hRule="atLeast"/>
        </w:trPr>
        <w:tc>
          <w:tcPr>
            <w:tcW w:w="12360" w:type="dxa"/>
            <w:gridSpan w:val="6"/>
            <w:tcBorders>
              <w:top w:val="nil"/>
              <w:left w:val="nil"/>
              <w:bottom w:val="nil"/>
              <w:right w:val="nil"/>
            </w:tcBorders>
            <w:vAlign w:val="center"/>
          </w:tcPr>
          <w:p>
            <w:pPr>
              <w:widowControl/>
              <w:jc w:val="left"/>
              <w:rPr>
                <w:rFonts w:ascii="宋体" w:hAnsi="宋体" w:cs="Calibri"/>
                <w:color w:val="000000"/>
                <w:kern w:val="0"/>
                <w:sz w:val="20"/>
                <w:szCs w:val="20"/>
              </w:rPr>
            </w:pPr>
          </w:p>
        </w:tc>
        <w:tc>
          <w:tcPr>
            <w:tcW w:w="4120" w:type="dxa"/>
            <w:gridSpan w:val="2"/>
            <w:tcBorders>
              <w:top w:val="nil"/>
              <w:left w:val="nil"/>
              <w:bottom w:val="nil"/>
              <w:right w:val="nil"/>
            </w:tcBorders>
            <w:vAlign w:val="center"/>
          </w:tcPr>
          <w:p>
            <w:pPr>
              <w:widowControl/>
              <w:jc w:val="right"/>
              <w:rPr>
                <w:rFonts w:ascii="宋体" w:hAnsi="宋体" w:cs="Calibri"/>
                <w:color w:val="000000"/>
                <w:kern w:val="0"/>
                <w:sz w:val="20"/>
                <w:szCs w:val="20"/>
              </w:rPr>
            </w:pPr>
            <w:r>
              <w:rPr>
                <w:rFonts w:hint="eastAsia" w:ascii="宋体" w:hAnsi="宋体" w:cs="Calibri"/>
                <w:color w:val="000000"/>
                <w:kern w:val="0"/>
                <w:sz w:val="20"/>
                <w:szCs w:val="20"/>
              </w:rPr>
              <w:t>单位：万元</w:t>
            </w:r>
          </w:p>
        </w:tc>
      </w:tr>
      <w:tr>
        <w:tblPrEx>
          <w:tblLayout w:type="fixed"/>
          <w:tblCellMar>
            <w:top w:w="0" w:type="dxa"/>
            <w:left w:w="108" w:type="dxa"/>
            <w:bottom w:w="0" w:type="dxa"/>
            <w:right w:w="108" w:type="dxa"/>
          </w:tblCellMar>
        </w:tblPrEx>
        <w:trPr>
          <w:trHeight w:val="375" w:hRule="atLeast"/>
        </w:trPr>
        <w:tc>
          <w:tcPr>
            <w:tcW w:w="824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收      入</w:t>
            </w:r>
          </w:p>
        </w:tc>
        <w:tc>
          <w:tcPr>
            <w:tcW w:w="8240"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支      出</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项    目</w:t>
            </w:r>
          </w:p>
        </w:tc>
        <w:tc>
          <w:tcPr>
            <w:tcW w:w="4120" w:type="dxa"/>
            <w:gridSpan w:val="2"/>
            <w:tcBorders>
              <w:top w:val="nil"/>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预算数</w:t>
            </w:r>
          </w:p>
        </w:tc>
        <w:tc>
          <w:tcPr>
            <w:tcW w:w="4120" w:type="dxa"/>
            <w:gridSpan w:val="2"/>
            <w:tcBorders>
              <w:top w:val="nil"/>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项    目</w:t>
            </w:r>
          </w:p>
        </w:tc>
        <w:tc>
          <w:tcPr>
            <w:tcW w:w="4120" w:type="dxa"/>
            <w:gridSpan w:val="2"/>
            <w:tcBorders>
              <w:top w:val="nil"/>
              <w:left w:val="nil"/>
              <w:bottom w:val="single" w:color="000000" w:sz="4" w:space="0"/>
              <w:right w:val="single" w:color="000000" w:sz="4" w:space="0"/>
            </w:tcBorders>
            <w:vAlign w:val="center"/>
          </w:tcPr>
          <w:p>
            <w:pPr>
              <w:widowControl/>
              <w:jc w:val="center"/>
              <w:rPr>
                <w:rFonts w:ascii="宋体" w:hAnsi="宋体" w:cs="Calibri"/>
                <w:color w:val="000000"/>
                <w:kern w:val="0"/>
                <w:sz w:val="20"/>
                <w:szCs w:val="20"/>
              </w:rPr>
            </w:pPr>
            <w:r>
              <w:rPr>
                <w:rFonts w:hint="eastAsia" w:ascii="宋体" w:hAnsi="宋体" w:cs="Calibri"/>
                <w:color w:val="000000"/>
                <w:kern w:val="0"/>
                <w:sz w:val="20"/>
                <w:szCs w:val="20"/>
              </w:rPr>
              <w:t>预算数</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一、本年收入</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1,598.02</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一、本年支出</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1,632.67</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（一）一般公共预算拨款</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1,598.02</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（一）社会保障和就业支出</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68.80</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（二）政府性基金预算拨款</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（二）卫生健康支出</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28.81</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（三）国有资本经营预算拨款</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（三）资源勘探工业信息等支出</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1,427.31</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（四）住房保障支出</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107.75</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二、上年结转</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34.65</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（一）一般公共预算拨款</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34.65</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（二）政府性基金预算拨款</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（三）国有资本经营预算拨款</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color w:val="000000"/>
                <w:kern w:val="0"/>
                <w:sz w:val="18"/>
                <w:szCs w:val="18"/>
              </w:rPr>
            </w:pPr>
            <w:r>
              <w:rPr>
                <w:rFonts w:hint="eastAsia" w:ascii="宋体" w:hAnsi="宋体" w:cs="Calibri"/>
                <w:color w:val="000000"/>
                <w:kern w:val="0"/>
                <w:sz w:val="18"/>
                <w:szCs w:val="18"/>
              </w:rPr>
              <w:t>　</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color w:val="000000"/>
                <w:kern w:val="0"/>
                <w:sz w:val="18"/>
                <w:szCs w:val="18"/>
              </w:rPr>
            </w:pPr>
            <w:r>
              <w:rPr>
                <w:rFonts w:hint="eastAsia" w:ascii="宋体" w:hAnsi="宋体" w:cs="Calibri"/>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二、结转下年</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c>
          <w:tcPr>
            <w:tcW w:w="4120" w:type="dxa"/>
            <w:gridSpan w:val="2"/>
            <w:tcBorders>
              <w:top w:val="nil"/>
              <w:left w:val="nil"/>
              <w:bottom w:val="single" w:color="000000" w:sz="4" w:space="0"/>
              <w:right w:val="single" w:color="000000" w:sz="4" w:space="0"/>
            </w:tcBorders>
            <w:vAlign w:val="center"/>
          </w:tcPr>
          <w:p>
            <w:pPr>
              <w:widowControl/>
              <w:jc w:val="left"/>
              <w:rPr>
                <w:rFonts w:ascii="宋体" w:hAnsi="宋体" w:cs="Calibri"/>
                <w:kern w:val="0"/>
                <w:sz w:val="20"/>
                <w:szCs w:val="20"/>
              </w:rPr>
            </w:pPr>
            <w:r>
              <w:rPr>
                <w:rFonts w:hint="eastAsia" w:ascii="宋体" w:hAnsi="宋体" w:cs="Calibri"/>
                <w:kern w:val="0"/>
                <w:sz w:val="20"/>
                <w:szCs w:val="20"/>
              </w:rPr>
              <w:t>　</w:t>
            </w:r>
          </w:p>
        </w:tc>
      </w:tr>
      <w:tr>
        <w:tblPrEx>
          <w:tblLayout w:type="fixed"/>
          <w:tblCellMar>
            <w:top w:w="0" w:type="dxa"/>
            <w:left w:w="108" w:type="dxa"/>
            <w:bottom w:w="0" w:type="dxa"/>
            <w:right w:w="108" w:type="dxa"/>
          </w:tblCellMar>
        </w:tblPrEx>
        <w:trPr>
          <w:trHeight w:val="375" w:hRule="atLeast"/>
        </w:trPr>
        <w:tc>
          <w:tcPr>
            <w:tcW w:w="4120"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hAnsi="宋体" w:cs="Calibri"/>
                <w:color w:val="000000"/>
                <w:kern w:val="0"/>
                <w:sz w:val="18"/>
                <w:szCs w:val="18"/>
              </w:rPr>
            </w:pPr>
            <w:r>
              <w:rPr>
                <w:rFonts w:hint="eastAsia" w:ascii="宋体" w:hAnsi="宋体" w:cs="Calibri"/>
                <w:color w:val="000000"/>
                <w:kern w:val="0"/>
                <w:sz w:val="18"/>
                <w:szCs w:val="18"/>
              </w:rPr>
              <w:t xml:space="preserve">     收    入    总    计</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1,632.67</w:t>
            </w:r>
          </w:p>
        </w:tc>
        <w:tc>
          <w:tcPr>
            <w:tcW w:w="4120" w:type="dxa"/>
            <w:gridSpan w:val="2"/>
            <w:tcBorders>
              <w:top w:val="nil"/>
              <w:left w:val="nil"/>
              <w:bottom w:val="single" w:color="000000" w:sz="4" w:space="0"/>
              <w:right w:val="single" w:color="000000" w:sz="4" w:space="0"/>
            </w:tcBorders>
            <w:vAlign w:val="center"/>
          </w:tcPr>
          <w:p>
            <w:pPr>
              <w:widowControl/>
              <w:jc w:val="center"/>
              <w:rPr>
                <w:rFonts w:ascii="宋体" w:hAnsi="宋体" w:cs="Calibri"/>
                <w:kern w:val="0"/>
                <w:sz w:val="20"/>
                <w:szCs w:val="20"/>
              </w:rPr>
            </w:pPr>
            <w:r>
              <w:rPr>
                <w:rFonts w:hint="eastAsia" w:ascii="宋体" w:hAnsi="宋体" w:cs="Calibri"/>
                <w:kern w:val="0"/>
                <w:sz w:val="20"/>
                <w:szCs w:val="20"/>
              </w:rPr>
              <w:t xml:space="preserve">     支    出    总    计</w:t>
            </w:r>
          </w:p>
        </w:tc>
        <w:tc>
          <w:tcPr>
            <w:tcW w:w="4120" w:type="dxa"/>
            <w:gridSpan w:val="2"/>
            <w:tcBorders>
              <w:top w:val="nil"/>
              <w:left w:val="nil"/>
              <w:bottom w:val="single" w:color="000000" w:sz="4" w:space="0"/>
              <w:right w:val="single" w:color="000000" w:sz="4" w:space="0"/>
            </w:tcBorders>
            <w:vAlign w:val="center"/>
          </w:tcPr>
          <w:p>
            <w:pPr>
              <w:widowControl/>
              <w:jc w:val="right"/>
              <w:rPr>
                <w:rFonts w:ascii="宋体" w:hAnsi="宋体" w:cs="Calibri"/>
                <w:kern w:val="0"/>
                <w:sz w:val="20"/>
                <w:szCs w:val="20"/>
              </w:rPr>
            </w:pPr>
            <w:r>
              <w:rPr>
                <w:rFonts w:hint="eastAsia" w:ascii="宋体" w:hAnsi="宋体" w:cs="Calibri"/>
                <w:kern w:val="0"/>
                <w:sz w:val="20"/>
                <w:szCs w:val="20"/>
              </w:rPr>
              <w:t>1,632.67</w:t>
            </w:r>
          </w:p>
        </w:tc>
      </w:tr>
    </w:tbl>
    <w:p>
      <w:pPr>
        <w:pStyle w:val="11"/>
        <w:widowControl/>
        <w:tabs>
          <w:tab w:val="left" w:pos="240"/>
          <w:tab w:val="center" w:pos="4420"/>
        </w:tabs>
        <w:spacing w:beforeAutospacing="0" w:afterAutospacing="0" w:line="27" w:lineRule="atLeast"/>
        <w:rPr>
          <w:rFonts w:ascii="宋体" w:hAnsi="宋体" w:cs="宋体"/>
          <w:color w:val="070707"/>
        </w:rPr>
        <w:sectPr>
          <w:pgSz w:w="16838" w:h="11906" w:orient="landscape"/>
          <w:pgMar w:top="850" w:right="1440" w:bottom="850" w:left="1440" w:header="851" w:footer="425" w:gutter="0"/>
          <w:cols w:space="720" w:num="1"/>
          <w:docGrid w:type="lines" w:linePitch="319" w:charSpace="0"/>
        </w:sectPr>
      </w:pPr>
    </w:p>
    <w:p>
      <w:pPr>
        <w:pStyle w:val="11"/>
        <w:widowControl/>
        <w:tabs>
          <w:tab w:val="left" w:pos="240"/>
          <w:tab w:val="center" w:pos="4420"/>
        </w:tabs>
        <w:spacing w:beforeAutospacing="0" w:afterAutospacing="0" w:line="27" w:lineRule="atLeast"/>
        <w:rPr>
          <w:rFonts w:ascii="宋体" w:hAnsi="宋体" w:cs="宋体"/>
          <w:color w:val="070707"/>
        </w:rPr>
      </w:pPr>
    </w:p>
    <w:tbl>
      <w:tblPr>
        <w:tblStyle w:val="10"/>
        <w:tblW w:w="14619" w:type="dxa"/>
        <w:jc w:val="center"/>
        <w:tblInd w:w="0" w:type="dxa"/>
        <w:tblLayout w:type="fixed"/>
        <w:tblCellMar>
          <w:top w:w="15" w:type="dxa"/>
          <w:left w:w="15" w:type="dxa"/>
          <w:bottom w:w="15" w:type="dxa"/>
          <w:right w:w="15" w:type="dxa"/>
        </w:tblCellMar>
      </w:tblPr>
      <w:tblGrid>
        <w:gridCol w:w="1049"/>
        <w:gridCol w:w="3058"/>
        <w:gridCol w:w="1345"/>
        <w:gridCol w:w="1400"/>
        <w:gridCol w:w="876"/>
        <w:gridCol w:w="931"/>
        <w:gridCol w:w="949"/>
        <w:gridCol w:w="949"/>
        <w:gridCol w:w="1054"/>
        <w:gridCol w:w="1071"/>
        <w:gridCol w:w="240"/>
        <w:gridCol w:w="691"/>
        <w:gridCol w:w="1006"/>
      </w:tblGrid>
      <w:tr>
        <w:tblPrEx>
          <w:tblLayout w:type="fixed"/>
          <w:tblCellMar>
            <w:top w:w="15" w:type="dxa"/>
            <w:left w:w="15" w:type="dxa"/>
            <w:bottom w:w="15" w:type="dxa"/>
            <w:right w:w="15" w:type="dxa"/>
          </w:tblCellMar>
        </w:tblPrEx>
        <w:trPr>
          <w:trHeight w:val="376" w:hRule="atLeast"/>
          <w:jc w:val="center"/>
        </w:trPr>
        <w:tc>
          <w:tcPr>
            <w:tcW w:w="1049" w:type="dxa"/>
            <w:vAlign w:val="center"/>
          </w:tcPr>
          <w:p>
            <w:pPr>
              <w:rPr>
                <w:rFonts w:ascii="宋体" w:hAnsi="宋体" w:cs="宋体"/>
                <w:color w:val="000000"/>
                <w:sz w:val="20"/>
                <w:szCs w:val="20"/>
              </w:rPr>
            </w:pPr>
          </w:p>
        </w:tc>
        <w:tc>
          <w:tcPr>
            <w:tcW w:w="3058" w:type="dxa"/>
            <w:vAlign w:val="center"/>
          </w:tcPr>
          <w:p>
            <w:pPr>
              <w:rPr>
                <w:rFonts w:ascii="宋体" w:hAnsi="宋体" w:cs="宋体"/>
                <w:color w:val="000000"/>
                <w:sz w:val="18"/>
                <w:szCs w:val="18"/>
              </w:rPr>
            </w:pPr>
          </w:p>
        </w:tc>
        <w:tc>
          <w:tcPr>
            <w:tcW w:w="1345" w:type="dxa"/>
            <w:vAlign w:val="center"/>
          </w:tcPr>
          <w:p>
            <w:pPr>
              <w:rPr>
                <w:rFonts w:ascii="宋体" w:hAnsi="宋体" w:cs="宋体"/>
                <w:color w:val="000000"/>
                <w:sz w:val="18"/>
                <w:szCs w:val="18"/>
              </w:rPr>
            </w:pPr>
          </w:p>
        </w:tc>
        <w:tc>
          <w:tcPr>
            <w:tcW w:w="1400" w:type="dxa"/>
            <w:vAlign w:val="center"/>
          </w:tcPr>
          <w:p>
            <w:pPr>
              <w:rPr>
                <w:rFonts w:ascii="宋体" w:hAnsi="宋体" w:cs="宋体"/>
                <w:color w:val="000000"/>
                <w:sz w:val="18"/>
                <w:szCs w:val="18"/>
              </w:rPr>
            </w:pPr>
          </w:p>
        </w:tc>
        <w:tc>
          <w:tcPr>
            <w:tcW w:w="876" w:type="dxa"/>
            <w:vAlign w:val="center"/>
          </w:tcPr>
          <w:p>
            <w:pPr>
              <w:rPr>
                <w:rFonts w:ascii="宋体" w:hAnsi="宋体" w:cs="宋体"/>
                <w:color w:val="000000"/>
                <w:sz w:val="18"/>
                <w:szCs w:val="18"/>
              </w:rPr>
            </w:pPr>
          </w:p>
        </w:tc>
        <w:tc>
          <w:tcPr>
            <w:tcW w:w="931" w:type="dxa"/>
            <w:vAlign w:val="center"/>
          </w:tcPr>
          <w:p>
            <w:pPr>
              <w:rPr>
                <w:rFonts w:ascii="宋体" w:hAnsi="宋体" w:cs="宋体"/>
                <w:color w:val="000000"/>
                <w:sz w:val="18"/>
                <w:szCs w:val="18"/>
              </w:rPr>
            </w:pPr>
          </w:p>
        </w:tc>
        <w:tc>
          <w:tcPr>
            <w:tcW w:w="949" w:type="dxa"/>
            <w:vAlign w:val="center"/>
          </w:tcPr>
          <w:p>
            <w:pPr>
              <w:rPr>
                <w:rFonts w:ascii="宋体" w:hAnsi="宋体" w:cs="宋体"/>
                <w:color w:val="000000"/>
                <w:sz w:val="18"/>
                <w:szCs w:val="18"/>
              </w:rPr>
            </w:pPr>
          </w:p>
        </w:tc>
        <w:tc>
          <w:tcPr>
            <w:tcW w:w="949" w:type="dxa"/>
            <w:vAlign w:val="center"/>
          </w:tcPr>
          <w:p>
            <w:pPr>
              <w:rPr>
                <w:rFonts w:ascii="宋体" w:hAnsi="宋体" w:cs="宋体"/>
                <w:color w:val="000000"/>
                <w:sz w:val="18"/>
                <w:szCs w:val="18"/>
              </w:rPr>
            </w:pPr>
          </w:p>
        </w:tc>
        <w:tc>
          <w:tcPr>
            <w:tcW w:w="1054" w:type="dxa"/>
            <w:vAlign w:val="center"/>
          </w:tcPr>
          <w:p>
            <w:pPr>
              <w:rPr>
                <w:rFonts w:ascii="宋体" w:hAnsi="宋体" w:cs="宋体"/>
                <w:color w:val="000000"/>
                <w:sz w:val="18"/>
                <w:szCs w:val="18"/>
              </w:rPr>
            </w:pPr>
          </w:p>
        </w:tc>
        <w:tc>
          <w:tcPr>
            <w:tcW w:w="1071" w:type="dxa"/>
            <w:vAlign w:val="center"/>
          </w:tcPr>
          <w:p>
            <w:pPr>
              <w:rPr>
                <w:rFonts w:ascii="宋体" w:hAnsi="宋体" w:cs="宋体"/>
                <w:color w:val="000000"/>
                <w:sz w:val="18"/>
                <w:szCs w:val="18"/>
              </w:rPr>
            </w:pPr>
          </w:p>
        </w:tc>
        <w:tc>
          <w:tcPr>
            <w:tcW w:w="240" w:type="dxa"/>
            <w:vAlign w:val="center"/>
          </w:tcPr>
          <w:p>
            <w:pPr>
              <w:rPr>
                <w:rFonts w:ascii="宋体" w:hAnsi="宋体" w:cs="宋体"/>
                <w:color w:val="000000"/>
                <w:sz w:val="18"/>
                <w:szCs w:val="18"/>
              </w:rPr>
            </w:pPr>
          </w:p>
        </w:tc>
        <w:tc>
          <w:tcPr>
            <w:tcW w:w="1697" w:type="dxa"/>
            <w:gridSpan w:val="2"/>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部门公开表5</w:t>
            </w:r>
          </w:p>
        </w:tc>
      </w:tr>
      <w:tr>
        <w:tblPrEx>
          <w:tblLayout w:type="fixed"/>
          <w:tblCellMar>
            <w:top w:w="15" w:type="dxa"/>
            <w:left w:w="15" w:type="dxa"/>
            <w:bottom w:w="15" w:type="dxa"/>
            <w:right w:w="15" w:type="dxa"/>
          </w:tblCellMar>
        </w:tblPrEx>
        <w:trPr>
          <w:trHeight w:val="518" w:hRule="atLeast"/>
          <w:jc w:val="center"/>
        </w:trPr>
        <w:tc>
          <w:tcPr>
            <w:tcW w:w="14619" w:type="dxa"/>
            <w:gridSpan w:val="13"/>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一般公共预算支出表</w:t>
            </w:r>
          </w:p>
        </w:tc>
      </w:tr>
      <w:tr>
        <w:tblPrEx>
          <w:tblLayout w:type="fixed"/>
          <w:tblCellMar>
            <w:top w:w="15" w:type="dxa"/>
            <w:left w:w="15" w:type="dxa"/>
            <w:bottom w:w="15" w:type="dxa"/>
            <w:right w:w="15" w:type="dxa"/>
          </w:tblCellMar>
        </w:tblPrEx>
        <w:trPr>
          <w:trHeight w:val="151" w:hRule="atLeast"/>
          <w:jc w:val="center"/>
        </w:trPr>
        <w:tc>
          <w:tcPr>
            <w:tcW w:w="1049" w:type="dxa"/>
            <w:tcBorders>
              <w:bottom w:val="single" w:color="000000" w:sz="4" w:space="0"/>
            </w:tcBorders>
            <w:vAlign w:val="center"/>
          </w:tcPr>
          <w:p>
            <w:pPr>
              <w:rPr>
                <w:rFonts w:ascii="宋体" w:hAnsi="宋体" w:cs="宋体"/>
                <w:color w:val="000000"/>
                <w:sz w:val="18"/>
                <w:szCs w:val="18"/>
              </w:rPr>
            </w:pPr>
          </w:p>
        </w:tc>
        <w:tc>
          <w:tcPr>
            <w:tcW w:w="3058" w:type="dxa"/>
            <w:tcBorders>
              <w:bottom w:val="single" w:color="000000" w:sz="4" w:space="0"/>
            </w:tcBorders>
            <w:vAlign w:val="center"/>
          </w:tcPr>
          <w:p>
            <w:pPr>
              <w:rPr>
                <w:rFonts w:ascii="宋体" w:hAnsi="宋体" w:cs="宋体"/>
                <w:color w:val="000000"/>
                <w:sz w:val="18"/>
                <w:szCs w:val="18"/>
              </w:rPr>
            </w:pPr>
          </w:p>
        </w:tc>
        <w:tc>
          <w:tcPr>
            <w:tcW w:w="1345" w:type="dxa"/>
            <w:tcBorders>
              <w:bottom w:val="single" w:color="000000" w:sz="4" w:space="0"/>
            </w:tcBorders>
            <w:vAlign w:val="center"/>
          </w:tcPr>
          <w:p>
            <w:pPr>
              <w:rPr>
                <w:rFonts w:ascii="宋体" w:hAnsi="宋体" w:cs="宋体"/>
                <w:color w:val="000000"/>
                <w:sz w:val="18"/>
                <w:szCs w:val="18"/>
              </w:rPr>
            </w:pPr>
          </w:p>
        </w:tc>
        <w:tc>
          <w:tcPr>
            <w:tcW w:w="1400" w:type="dxa"/>
            <w:tcBorders>
              <w:bottom w:val="single" w:color="000000" w:sz="4" w:space="0"/>
            </w:tcBorders>
            <w:vAlign w:val="center"/>
          </w:tcPr>
          <w:p>
            <w:pPr>
              <w:rPr>
                <w:rFonts w:ascii="宋体" w:hAnsi="宋体" w:cs="宋体"/>
                <w:color w:val="000000"/>
                <w:sz w:val="18"/>
                <w:szCs w:val="18"/>
              </w:rPr>
            </w:pPr>
          </w:p>
        </w:tc>
        <w:tc>
          <w:tcPr>
            <w:tcW w:w="876" w:type="dxa"/>
            <w:tcBorders>
              <w:bottom w:val="single" w:color="000000" w:sz="4" w:space="0"/>
            </w:tcBorders>
            <w:vAlign w:val="center"/>
          </w:tcPr>
          <w:p>
            <w:pPr>
              <w:rPr>
                <w:rFonts w:ascii="宋体" w:hAnsi="宋体" w:cs="宋体"/>
                <w:color w:val="000000"/>
                <w:sz w:val="18"/>
                <w:szCs w:val="18"/>
              </w:rPr>
            </w:pPr>
          </w:p>
        </w:tc>
        <w:tc>
          <w:tcPr>
            <w:tcW w:w="931" w:type="dxa"/>
            <w:tcBorders>
              <w:bottom w:val="single" w:color="000000" w:sz="4" w:space="0"/>
            </w:tcBorders>
            <w:vAlign w:val="center"/>
          </w:tcPr>
          <w:p>
            <w:pPr>
              <w:rPr>
                <w:rFonts w:ascii="宋体" w:hAnsi="宋体" w:cs="宋体"/>
                <w:color w:val="000000"/>
                <w:sz w:val="18"/>
                <w:szCs w:val="18"/>
              </w:rPr>
            </w:pPr>
          </w:p>
        </w:tc>
        <w:tc>
          <w:tcPr>
            <w:tcW w:w="949" w:type="dxa"/>
            <w:tcBorders>
              <w:bottom w:val="single" w:color="000000" w:sz="4" w:space="0"/>
            </w:tcBorders>
            <w:vAlign w:val="center"/>
          </w:tcPr>
          <w:p>
            <w:pPr>
              <w:rPr>
                <w:rFonts w:ascii="宋体" w:hAnsi="宋体" w:cs="宋体"/>
                <w:color w:val="000000"/>
                <w:sz w:val="18"/>
                <w:szCs w:val="18"/>
              </w:rPr>
            </w:pPr>
          </w:p>
        </w:tc>
        <w:tc>
          <w:tcPr>
            <w:tcW w:w="949" w:type="dxa"/>
            <w:tcBorders>
              <w:bottom w:val="single" w:color="000000" w:sz="4" w:space="0"/>
            </w:tcBorders>
            <w:vAlign w:val="center"/>
          </w:tcPr>
          <w:p>
            <w:pPr>
              <w:rPr>
                <w:rFonts w:ascii="宋体" w:hAnsi="宋体" w:cs="宋体"/>
                <w:color w:val="000000"/>
                <w:sz w:val="18"/>
                <w:szCs w:val="18"/>
              </w:rPr>
            </w:pPr>
          </w:p>
        </w:tc>
        <w:tc>
          <w:tcPr>
            <w:tcW w:w="1054" w:type="dxa"/>
            <w:tcBorders>
              <w:bottom w:val="single" w:color="000000" w:sz="4" w:space="0"/>
            </w:tcBorders>
            <w:vAlign w:val="center"/>
          </w:tcPr>
          <w:p>
            <w:pPr>
              <w:rPr>
                <w:rFonts w:ascii="宋体" w:hAnsi="宋体" w:cs="宋体"/>
                <w:color w:val="000000"/>
                <w:sz w:val="18"/>
                <w:szCs w:val="18"/>
              </w:rPr>
            </w:pPr>
          </w:p>
        </w:tc>
        <w:tc>
          <w:tcPr>
            <w:tcW w:w="1071" w:type="dxa"/>
            <w:vAlign w:val="center"/>
          </w:tcPr>
          <w:p>
            <w:pPr>
              <w:jc w:val="right"/>
              <w:rPr>
                <w:rFonts w:ascii="宋体" w:hAnsi="宋体" w:cs="宋体"/>
                <w:color w:val="000000"/>
                <w:sz w:val="18"/>
                <w:szCs w:val="18"/>
              </w:rPr>
            </w:pPr>
          </w:p>
        </w:tc>
        <w:tc>
          <w:tcPr>
            <w:tcW w:w="931" w:type="dxa"/>
            <w:gridSpan w:val="2"/>
            <w:tcBorders>
              <w:bottom w:val="single" w:color="000000" w:sz="4" w:space="0"/>
            </w:tcBorders>
            <w:vAlign w:val="center"/>
          </w:tcPr>
          <w:p>
            <w:pPr>
              <w:rPr>
                <w:rFonts w:ascii="宋体" w:hAnsi="宋体" w:cs="宋体"/>
                <w:color w:val="000000"/>
                <w:sz w:val="18"/>
                <w:szCs w:val="18"/>
              </w:rPr>
            </w:pPr>
          </w:p>
        </w:tc>
        <w:tc>
          <w:tcPr>
            <w:tcW w:w="1006" w:type="dxa"/>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784" w:hRule="atLeast"/>
          <w:jc w:val="center"/>
        </w:trPr>
        <w:tc>
          <w:tcPr>
            <w:tcW w:w="41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w:t>
            </w:r>
          </w:p>
        </w:tc>
        <w:tc>
          <w:tcPr>
            <w:tcW w:w="27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2022年执行数</w:t>
            </w:r>
          </w:p>
        </w:tc>
        <w:tc>
          <w:tcPr>
            <w:tcW w:w="37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2023年预算数</w:t>
            </w:r>
          </w:p>
        </w:tc>
        <w:tc>
          <w:tcPr>
            <w:tcW w:w="2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2023年预算数比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2022年执行数</w:t>
            </w:r>
          </w:p>
        </w:tc>
        <w:tc>
          <w:tcPr>
            <w:tcW w:w="193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2023年预算数比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2022年执行数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（扣除中央基建投资）</w:t>
            </w:r>
          </w:p>
        </w:tc>
      </w:tr>
      <w:tr>
        <w:tblPrEx>
          <w:tblLayout w:type="fixed"/>
          <w:tblCellMar>
            <w:top w:w="15" w:type="dxa"/>
            <w:left w:w="15" w:type="dxa"/>
            <w:bottom w:w="15" w:type="dxa"/>
            <w:right w:w="15" w:type="dxa"/>
          </w:tblCellMar>
        </w:tblPrEx>
        <w:trPr>
          <w:trHeight w:val="600"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30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执行数</w:t>
            </w:r>
          </w:p>
        </w:tc>
        <w:tc>
          <w:tcPr>
            <w:tcW w:w="1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扣除中央基建投资后执行数</w:t>
            </w:r>
          </w:p>
        </w:tc>
        <w:tc>
          <w:tcPr>
            <w:tcW w:w="27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w:t>
            </w:r>
          </w:p>
        </w:tc>
        <w:tc>
          <w:tcPr>
            <w:tcW w:w="9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扣除中央基建投资后预算数</w:t>
            </w:r>
          </w:p>
        </w:tc>
        <w:tc>
          <w:tcPr>
            <w:tcW w:w="10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增减额</w:t>
            </w:r>
          </w:p>
        </w:tc>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增减(%)</w:t>
            </w:r>
          </w:p>
        </w:tc>
        <w:tc>
          <w:tcPr>
            <w:tcW w:w="93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增减额</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增减(%)</w:t>
            </w:r>
          </w:p>
        </w:tc>
      </w:tr>
      <w:tr>
        <w:tblPrEx>
          <w:tblLayout w:type="fixed"/>
          <w:tblCellMar>
            <w:top w:w="15" w:type="dxa"/>
            <w:left w:w="15" w:type="dxa"/>
            <w:bottom w:w="15" w:type="dxa"/>
            <w:right w:w="15" w:type="dxa"/>
          </w:tblCellMar>
        </w:tblPrEx>
        <w:trPr>
          <w:trHeight w:val="299"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0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3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社会保障和就业支出</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70.50</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70.50</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68.8</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68.8</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68.8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-1.7</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-2.41</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-1.7</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-2.41</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20805</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行政事业单位养老支出</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70.50</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70.50</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68.8</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68.8</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68.8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-1.7</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-2.41</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-1.7</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-2.41</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2080501</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行政单位离退休</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9.84</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9.84</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8.89</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8.89</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8.89</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-0.95</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-9.65</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-0.95</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-9.65</w:t>
            </w:r>
          </w:p>
        </w:tc>
      </w:tr>
      <w:tr>
        <w:tblPrEx>
          <w:tblLayout w:type="fixed"/>
          <w:tblCellMar>
            <w:top w:w="15" w:type="dxa"/>
            <w:left w:w="15" w:type="dxa"/>
            <w:bottom w:w="15" w:type="dxa"/>
            <w:right w:w="15" w:type="dxa"/>
          </w:tblCellMar>
        </w:tblPrEx>
        <w:trPr>
          <w:trHeight w:val="388"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2080505</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机关事业单位基本养老保险缴费支出</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40.44</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40.44</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39.94</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39.94</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39.94</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-0.5</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-1.24</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-0.5</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-1.24</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2080506</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机关事业单位职业年金缴费支出</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20.22</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20.22</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19.97</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19.97</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19.97</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-0.25</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-1.24</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-0.25</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-1.24</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卫生健康支出</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26.95</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26.95</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28.81</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28.81</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28.81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1.86</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6.90</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1.86</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6.90</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21011</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行政事业单位医疗</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26.95</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26.95</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28.81</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28.81</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28.81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1.86</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6.90</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1.86</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6.90</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2101101</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行政单位医疗</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26.95</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26.95</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28.81</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28.81</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28.81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1.86</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6.90</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1.86</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6.90</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215</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资源勘探工业信息等支出</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1702.76</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1399.41</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1392.66</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347.33</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1045.33</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1392.66</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-310.1</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-18.21</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-6.75</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-0.48</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21505</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工业和信息产业监管</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1702.76</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1399.41</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1392.66</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347.33</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1045.33</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1392.66</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-310.1</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-18.21</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-6.75</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-0.48</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221</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住房保障支出</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102.75</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102.75</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107.75</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107.75</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107.75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5</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4.87</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5</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4.87</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22102</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20"/>
              </w:rPr>
            </w:pPr>
            <w:r>
              <w:rPr>
                <w:rFonts w:hint="eastAsia" w:ascii="宋体" w:hAnsi="宋体" w:cs="宋体"/>
                <w:b/>
                <w:color w:val="000000"/>
                <w:kern w:val="0"/>
                <w:sz w:val="20"/>
                <w:szCs w:val="20"/>
              </w:rPr>
              <w:t>　　住房改革支出</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102.75</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102.75</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107.75</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107.75</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107.75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5</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4.87</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5</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4.87</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2210201</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住房公积金</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52</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52</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62.25</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62.25</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62.25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10.25</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19.71</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10.25</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19.71</w:t>
            </w:r>
          </w:p>
        </w:tc>
      </w:tr>
      <w:tr>
        <w:tblPrEx>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2210203</w:t>
            </w:r>
          </w:p>
        </w:tc>
        <w:tc>
          <w:tcPr>
            <w:tcW w:w="30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购房补贴</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50.75</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50.75</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45.5</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45.5</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45.5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-5.25</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-10.34</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-5.25</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-10.34</w:t>
            </w:r>
          </w:p>
        </w:tc>
      </w:tr>
      <w:tr>
        <w:tblPrEx>
          <w:tblLayout w:type="fixed"/>
          <w:tblCellMar>
            <w:top w:w="15" w:type="dxa"/>
            <w:left w:w="15" w:type="dxa"/>
            <w:bottom w:w="15" w:type="dxa"/>
            <w:right w:w="15" w:type="dxa"/>
          </w:tblCellMar>
        </w:tblPrEx>
        <w:trPr>
          <w:trHeight w:val="420" w:hRule="atLeast"/>
          <w:jc w:val="center"/>
        </w:trPr>
        <w:tc>
          <w:tcPr>
            <w:tcW w:w="41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合  计</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1902.96</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1599.61</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1598.02</w:t>
            </w:r>
          </w:p>
        </w:tc>
        <w:tc>
          <w:tcPr>
            <w:tcW w:w="9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552.69</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1045.33</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1598.02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-304.94</w:t>
            </w:r>
          </w:p>
        </w:tc>
        <w:tc>
          <w:tcPr>
            <w:tcW w:w="10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-16.02</w:t>
            </w:r>
          </w:p>
        </w:tc>
        <w:tc>
          <w:tcPr>
            <w:tcW w:w="9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-1.59</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20"/>
                <w:szCs w:val="20"/>
              </w:rPr>
            </w:pPr>
            <w:r>
              <w:rPr>
                <w:rFonts w:hint="eastAsia" w:ascii="宋体" w:hAnsi="宋体" w:cs="宋体"/>
                <w:b/>
                <w:color w:val="000000"/>
                <w:sz w:val="20"/>
                <w:szCs w:val="20"/>
              </w:rPr>
              <w:t>-0.10</w:t>
            </w:r>
          </w:p>
        </w:tc>
      </w:tr>
    </w:tbl>
    <w:p>
      <w:pPr>
        <w:pStyle w:val="11"/>
        <w:widowControl/>
        <w:spacing w:beforeAutospacing="0" w:afterAutospacing="0" w:line="27" w:lineRule="atLeast"/>
        <w:jc w:val="both"/>
        <w:rPr>
          <w:rFonts w:ascii="宋体" w:hAnsi="宋体" w:cs="宋体"/>
          <w:color w:val="070707"/>
        </w:rPr>
        <w:sectPr>
          <w:pgSz w:w="16838" w:h="11906" w:orient="landscape"/>
          <w:pgMar w:top="850" w:right="1440" w:bottom="850" w:left="1440" w:header="851" w:footer="425" w:gutter="0"/>
          <w:cols w:space="720" w:num="1"/>
          <w:docGrid w:type="lines" w:linePitch="319" w:charSpace="0"/>
        </w:sectPr>
      </w:pPr>
    </w:p>
    <w:tbl>
      <w:tblPr>
        <w:tblStyle w:val="10"/>
        <w:tblpPr w:leftFromText="181" w:rightFromText="181" w:tblpXSpec="center" w:tblpYSpec="center"/>
        <w:tblOverlap w:val="never"/>
        <w:tblW w:w="8728" w:type="dxa"/>
        <w:jc w:val="center"/>
        <w:tblInd w:w="0" w:type="dxa"/>
        <w:tblLayout w:type="fixed"/>
        <w:tblCellMar>
          <w:top w:w="15" w:type="dxa"/>
          <w:left w:w="15" w:type="dxa"/>
          <w:bottom w:w="15" w:type="dxa"/>
          <w:right w:w="15" w:type="dxa"/>
        </w:tblCellMar>
      </w:tblPr>
      <w:tblGrid>
        <w:gridCol w:w="1768"/>
        <w:gridCol w:w="1843"/>
        <w:gridCol w:w="90"/>
        <w:gridCol w:w="1873"/>
        <w:gridCol w:w="1847"/>
        <w:gridCol w:w="221"/>
        <w:gridCol w:w="1086"/>
      </w:tblGrid>
      <w:tr>
        <w:tblPrEx>
          <w:tblLayout w:type="fixed"/>
          <w:tblCellMar>
            <w:top w:w="15" w:type="dxa"/>
            <w:left w:w="15" w:type="dxa"/>
            <w:bottom w:w="15" w:type="dxa"/>
            <w:right w:w="15" w:type="dxa"/>
          </w:tblCellMar>
        </w:tblPrEx>
        <w:trPr>
          <w:trHeight w:val="270" w:hRule="atLeast"/>
          <w:jc w:val="center"/>
        </w:trPr>
        <w:tc>
          <w:tcPr>
            <w:tcW w:w="1768" w:type="dxa"/>
            <w:vAlign w:val="center"/>
          </w:tcPr>
          <w:p>
            <w:pPr>
              <w:rPr>
                <w:rFonts w:ascii="宋体" w:hAnsi="宋体" w:cs="宋体"/>
                <w:color w:val="000000"/>
                <w:sz w:val="20"/>
                <w:szCs w:val="20"/>
              </w:rPr>
            </w:pPr>
          </w:p>
        </w:tc>
        <w:tc>
          <w:tcPr>
            <w:tcW w:w="1843" w:type="dxa"/>
            <w:vAlign w:val="center"/>
          </w:tcPr>
          <w:p>
            <w:pPr>
              <w:rPr>
                <w:rFonts w:ascii="宋体" w:hAnsi="宋体" w:cs="宋体"/>
                <w:color w:val="000000"/>
                <w:sz w:val="24"/>
              </w:rPr>
            </w:pPr>
          </w:p>
        </w:tc>
        <w:tc>
          <w:tcPr>
            <w:tcW w:w="1963" w:type="dxa"/>
            <w:gridSpan w:val="2"/>
            <w:vAlign w:val="center"/>
          </w:tcPr>
          <w:p>
            <w:pPr>
              <w:rPr>
                <w:rFonts w:ascii="宋体" w:hAnsi="宋体" w:cs="宋体"/>
                <w:color w:val="000000"/>
                <w:sz w:val="24"/>
              </w:rPr>
            </w:pPr>
          </w:p>
        </w:tc>
        <w:tc>
          <w:tcPr>
            <w:tcW w:w="1847" w:type="dxa"/>
            <w:vAlign w:val="center"/>
          </w:tcPr>
          <w:p>
            <w:pPr>
              <w:rPr>
                <w:rFonts w:ascii="宋体" w:hAnsi="宋体" w:cs="宋体"/>
                <w:color w:val="000000"/>
                <w:sz w:val="24"/>
              </w:rPr>
            </w:pPr>
          </w:p>
        </w:tc>
        <w:tc>
          <w:tcPr>
            <w:tcW w:w="1307" w:type="dxa"/>
            <w:gridSpan w:val="2"/>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部门公开表6</w:t>
            </w:r>
          </w:p>
        </w:tc>
      </w:tr>
      <w:tr>
        <w:tblPrEx>
          <w:tblLayout w:type="fixed"/>
          <w:tblCellMar>
            <w:top w:w="15" w:type="dxa"/>
            <w:left w:w="15" w:type="dxa"/>
            <w:bottom w:w="15" w:type="dxa"/>
            <w:right w:w="15" w:type="dxa"/>
          </w:tblCellMar>
        </w:tblPrEx>
        <w:trPr>
          <w:trHeight w:val="570" w:hRule="atLeast"/>
          <w:jc w:val="center"/>
        </w:trPr>
        <w:tc>
          <w:tcPr>
            <w:tcW w:w="8728" w:type="dxa"/>
            <w:gridSpan w:val="7"/>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一般公共预算基本支出表</w:t>
            </w:r>
          </w:p>
        </w:tc>
      </w:tr>
      <w:tr>
        <w:tblPrEx>
          <w:tblLayout w:type="fixed"/>
          <w:tblCellMar>
            <w:top w:w="15" w:type="dxa"/>
            <w:left w:w="15" w:type="dxa"/>
            <w:bottom w:w="15" w:type="dxa"/>
            <w:right w:w="15" w:type="dxa"/>
          </w:tblCellMar>
        </w:tblPrEx>
        <w:trPr>
          <w:trHeight w:val="285" w:hRule="atLeast"/>
          <w:jc w:val="center"/>
        </w:trPr>
        <w:tc>
          <w:tcPr>
            <w:tcW w:w="1768" w:type="dxa"/>
            <w:tcBorders>
              <w:bottom w:val="single" w:color="000000" w:sz="4" w:space="0"/>
            </w:tcBorders>
            <w:vAlign w:val="center"/>
          </w:tcPr>
          <w:p>
            <w:pPr>
              <w:rPr>
                <w:rFonts w:ascii="宋体" w:hAnsi="宋体" w:cs="宋体"/>
                <w:color w:val="000000"/>
                <w:sz w:val="18"/>
                <w:szCs w:val="18"/>
              </w:rPr>
            </w:pPr>
          </w:p>
        </w:tc>
        <w:tc>
          <w:tcPr>
            <w:tcW w:w="1933" w:type="dxa"/>
            <w:gridSpan w:val="2"/>
            <w:tcBorders>
              <w:bottom w:val="single" w:color="000000" w:sz="4" w:space="0"/>
            </w:tcBorders>
            <w:vAlign w:val="center"/>
          </w:tcPr>
          <w:p>
            <w:pPr>
              <w:rPr>
                <w:rFonts w:ascii="宋体" w:hAnsi="宋体" w:cs="宋体"/>
                <w:color w:val="000000"/>
                <w:sz w:val="18"/>
                <w:szCs w:val="18"/>
              </w:rPr>
            </w:pPr>
          </w:p>
        </w:tc>
        <w:tc>
          <w:tcPr>
            <w:tcW w:w="1873" w:type="dxa"/>
            <w:tcBorders>
              <w:bottom w:val="single" w:color="000000" w:sz="4" w:space="0"/>
            </w:tcBorders>
            <w:vAlign w:val="center"/>
          </w:tcPr>
          <w:p>
            <w:pPr>
              <w:rPr>
                <w:rFonts w:ascii="宋体" w:hAnsi="宋体" w:cs="宋体"/>
                <w:color w:val="000000"/>
                <w:sz w:val="18"/>
                <w:szCs w:val="18"/>
              </w:rPr>
            </w:pPr>
          </w:p>
        </w:tc>
        <w:tc>
          <w:tcPr>
            <w:tcW w:w="2068" w:type="dxa"/>
            <w:gridSpan w:val="2"/>
            <w:tcBorders>
              <w:bottom w:val="single" w:color="000000" w:sz="4" w:space="0"/>
            </w:tcBorders>
            <w:vAlign w:val="center"/>
          </w:tcPr>
          <w:p>
            <w:pPr>
              <w:rPr>
                <w:rFonts w:ascii="宋体" w:hAnsi="宋体" w:cs="宋体"/>
                <w:color w:val="000000"/>
                <w:sz w:val="18"/>
                <w:szCs w:val="18"/>
              </w:rPr>
            </w:pPr>
          </w:p>
        </w:tc>
        <w:tc>
          <w:tcPr>
            <w:tcW w:w="1086" w:type="dxa"/>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450" w:hRule="atLeast"/>
          <w:jc w:val="center"/>
        </w:trPr>
        <w:tc>
          <w:tcPr>
            <w:tcW w:w="3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部门预算支出经济分类科目</w:t>
            </w:r>
          </w:p>
        </w:tc>
        <w:tc>
          <w:tcPr>
            <w:tcW w:w="502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2023年基本支出</w:t>
            </w:r>
          </w:p>
        </w:tc>
      </w:tr>
      <w:tr>
        <w:tblPrEx>
          <w:tblLayout w:type="fixed"/>
          <w:tblCellMar>
            <w:top w:w="15" w:type="dxa"/>
            <w:left w:w="15" w:type="dxa"/>
            <w:bottom w:w="15" w:type="dxa"/>
            <w:right w:w="15" w:type="dxa"/>
          </w:tblCellMar>
        </w:tblPrEx>
        <w:trPr>
          <w:trHeight w:val="495"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301</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　工资福利支出</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sz w:val="18"/>
                <w:szCs w:val="18"/>
              </w:rPr>
              <w:t>446.57</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sz w:val="18"/>
                <w:szCs w:val="18"/>
              </w:rPr>
              <w:t>446.57</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8"/>
                <w:szCs w:val="18"/>
              </w:rPr>
            </w:pPr>
            <w:r>
              <w:rPr>
                <w:rFonts w:hint="eastAsia" w:ascii="宋体" w:hAnsi="宋体" w:cs="宋体"/>
                <w:color w:val="000000"/>
                <w:kern w:val="0"/>
                <w:sz w:val="18"/>
                <w:szCs w:val="18"/>
              </w:rPr>
              <w:t>30101</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8"/>
                <w:szCs w:val="18"/>
              </w:rPr>
            </w:pPr>
            <w:r>
              <w:rPr>
                <w:rFonts w:hint="eastAsia" w:ascii="宋体" w:hAnsi="宋体" w:cs="宋体"/>
                <w:color w:val="000000"/>
                <w:kern w:val="0"/>
                <w:sz w:val="18"/>
                <w:szCs w:val="18"/>
              </w:rPr>
              <w:t>基本工资</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120.95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120.95</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30102</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津贴补贴</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163.15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163.15</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30103</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奖金</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10.5</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30108</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机关事业单位基本养老保险缴费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39.94</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39.94</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30109</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职业年金缴费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19.97</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19.97</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30110</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职工基本医疗保险缴费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16</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16</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30111</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公务员医疗补助缴费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3.48</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3.48</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30112</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其他社会保障缴费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4.83</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4.83</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8"/>
                <w:szCs w:val="18"/>
              </w:rPr>
            </w:pPr>
            <w:r>
              <w:rPr>
                <w:rFonts w:hint="eastAsia" w:ascii="宋体" w:hAnsi="宋体" w:cs="宋体"/>
                <w:color w:val="000000"/>
                <w:kern w:val="0"/>
                <w:sz w:val="18"/>
                <w:szCs w:val="18"/>
              </w:rPr>
              <w:t>30113</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8"/>
                <w:szCs w:val="18"/>
              </w:rPr>
            </w:pPr>
            <w:r>
              <w:rPr>
                <w:rFonts w:hint="eastAsia" w:ascii="宋体" w:hAnsi="宋体" w:cs="宋体"/>
                <w:color w:val="000000"/>
                <w:kern w:val="0"/>
                <w:sz w:val="18"/>
                <w:szCs w:val="18"/>
              </w:rPr>
              <w:t>住房公积金</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62.25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62.25</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30114</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30199</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0.5</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b/>
                <w:color w:val="000000"/>
                <w:kern w:val="0"/>
                <w:sz w:val="18"/>
                <w:szCs w:val="18"/>
              </w:rPr>
              <w:t>302</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b/>
                <w:color w:val="000000"/>
                <w:kern w:val="0"/>
                <w:sz w:val="18"/>
                <w:szCs w:val="18"/>
              </w:rPr>
              <w:t>　商品和服务支出</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sz w:val="18"/>
                <w:szCs w:val="18"/>
              </w:rPr>
              <w:t>99.12</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sz w:val="18"/>
                <w:szCs w:val="18"/>
              </w:rPr>
            </w:pPr>
            <w:r>
              <w:rPr>
                <w:rFonts w:hint="eastAsia" w:ascii="宋体" w:hAnsi="宋体" w:cs="宋体"/>
                <w:b/>
                <w:color w:val="000000"/>
                <w:sz w:val="18"/>
                <w:szCs w:val="18"/>
              </w:rPr>
              <w:t>99.12</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kern w:val="0"/>
                <w:sz w:val="18"/>
                <w:szCs w:val="18"/>
              </w:rPr>
            </w:pPr>
            <w:r>
              <w:rPr>
                <w:rFonts w:hint="eastAsia" w:ascii="宋体" w:hAnsi="宋体" w:cs="宋体"/>
                <w:bCs/>
                <w:color w:val="000000"/>
                <w:kern w:val="0"/>
                <w:sz w:val="18"/>
                <w:szCs w:val="18"/>
              </w:rPr>
              <w:t>30201</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kern w:val="0"/>
                <w:sz w:val="18"/>
                <w:szCs w:val="18"/>
              </w:rPr>
            </w:pPr>
            <w:r>
              <w:rPr>
                <w:rFonts w:hint="eastAsia" w:ascii="宋体" w:hAnsi="宋体" w:cs="宋体"/>
                <w:bCs/>
                <w:color w:val="000000"/>
                <w:kern w:val="0"/>
                <w:sz w:val="18"/>
                <w:szCs w:val="18"/>
              </w:rPr>
              <w:t>办公费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kern w:val="0"/>
                <w:sz w:val="18"/>
                <w:szCs w:val="18"/>
              </w:rPr>
            </w:pPr>
            <w:r>
              <w:rPr>
                <w:rFonts w:hint="eastAsia" w:ascii="宋体" w:hAnsi="宋体" w:cs="宋体"/>
                <w:bCs/>
                <w:color w:val="000000"/>
                <w:kern w:val="0"/>
                <w:sz w:val="18"/>
                <w:szCs w:val="18"/>
              </w:rPr>
              <w:t>30202</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kern w:val="0"/>
                <w:sz w:val="18"/>
                <w:szCs w:val="18"/>
              </w:rPr>
            </w:pPr>
            <w:r>
              <w:rPr>
                <w:rFonts w:hint="eastAsia" w:ascii="宋体" w:hAnsi="宋体" w:cs="宋体"/>
                <w:bCs/>
                <w:color w:val="000000"/>
                <w:kern w:val="0"/>
                <w:sz w:val="18"/>
                <w:szCs w:val="18"/>
              </w:rPr>
              <w:t>印刷费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0.1</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0.1</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kern w:val="0"/>
                <w:sz w:val="18"/>
                <w:szCs w:val="18"/>
              </w:rPr>
            </w:pPr>
            <w:r>
              <w:rPr>
                <w:rFonts w:hint="eastAsia" w:ascii="宋体" w:hAnsi="宋体" w:cs="宋体"/>
                <w:bCs/>
                <w:color w:val="000000"/>
                <w:kern w:val="0"/>
                <w:sz w:val="18"/>
                <w:szCs w:val="18"/>
              </w:rPr>
              <w:t>30205</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kern w:val="0"/>
                <w:sz w:val="18"/>
                <w:szCs w:val="18"/>
              </w:rPr>
            </w:pPr>
            <w:r>
              <w:rPr>
                <w:rFonts w:hint="eastAsia" w:ascii="宋体" w:hAnsi="宋体" w:cs="宋体"/>
                <w:bCs/>
                <w:color w:val="000000"/>
                <w:kern w:val="0"/>
                <w:sz w:val="18"/>
                <w:szCs w:val="18"/>
              </w:rPr>
              <w:t>水费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0.1</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0.1</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kern w:val="0"/>
                <w:sz w:val="18"/>
                <w:szCs w:val="18"/>
              </w:rPr>
            </w:pPr>
            <w:r>
              <w:rPr>
                <w:rFonts w:hint="eastAsia" w:ascii="宋体" w:hAnsi="宋体" w:cs="宋体"/>
                <w:bCs/>
                <w:color w:val="000000"/>
                <w:kern w:val="0"/>
                <w:sz w:val="18"/>
                <w:szCs w:val="18"/>
              </w:rPr>
              <w:t>30206</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kern w:val="0"/>
                <w:sz w:val="18"/>
                <w:szCs w:val="18"/>
              </w:rPr>
            </w:pPr>
            <w:r>
              <w:rPr>
                <w:rFonts w:hint="eastAsia" w:ascii="宋体" w:hAnsi="宋体" w:cs="宋体"/>
                <w:bCs/>
                <w:color w:val="000000"/>
                <w:kern w:val="0"/>
                <w:sz w:val="18"/>
                <w:szCs w:val="18"/>
              </w:rPr>
              <w:t>电费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30207</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邮电费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0.5</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30209</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物业管理费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24</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24</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30211</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差旅费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30213</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30214</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租赁费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30215</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6</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6</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30216</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2.5</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30217</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公务接待费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1.97</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1.97</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30226</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0.2</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0.2</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30227</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0.73</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0.73</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30228</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工会经费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30229</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福利费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16.3</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16.3</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30231</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公务用车运行维护费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5.83</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5.83</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30239</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其他交通费用</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24</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24</w:t>
            </w:r>
          </w:p>
        </w:tc>
      </w:tr>
      <w:tr>
        <w:tblPrEx>
          <w:tblLayout w:type="fixed"/>
          <w:tblCellMar>
            <w:top w:w="15" w:type="dxa"/>
            <w:left w:w="15" w:type="dxa"/>
            <w:bottom w:w="15" w:type="dxa"/>
            <w:right w:w="15" w:type="dxa"/>
          </w:tblCellMar>
        </w:tblPrEx>
        <w:trPr>
          <w:trHeight w:val="43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8"/>
                <w:szCs w:val="18"/>
              </w:rPr>
            </w:pPr>
            <w:r>
              <w:rPr>
                <w:rFonts w:hint="eastAsia" w:ascii="宋体" w:hAnsi="宋体" w:cs="宋体"/>
                <w:color w:val="000000"/>
                <w:kern w:val="0"/>
                <w:sz w:val="18"/>
                <w:szCs w:val="18"/>
              </w:rPr>
              <w:t>30299</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18"/>
                <w:szCs w:val="18"/>
              </w:rPr>
            </w:pPr>
            <w:r>
              <w:rPr>
                <w:rFonts w:hint="eastAsia" w:ascii="宋体" w:hAnsi="宋体" w:cs="宋体"/>
                <w:color w:val="000000"/>
                <w:kern w:val="0"/>
                <w:sz w:val="18"/>
                <w:szCs w:val="18"/>
              </w:rPr>
              <w:t>其他商品和服务支出</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2.89</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2.89</w:t>
            </w: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b/>
                <w:color w:val="000000"/>
                <w:kern w:val="0"/>
                <w:sz w:val="18"/>
                <w:szCs w:val="18"/>
              </w:rPr>
              <w:t>303</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b/>
                <w:color w:val="000000"/>
                <w:kern w:val="0"/>
                <w:sz w:val="18"/>
                <w:szCs w:val="18"/>
              </w:rPr>
              <w:t>　对个人和家庭的补助</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b/>
                <w:color w:val="000000"/>
                <w:kern w:val="0"/>
                <w:sz w:val="18"/>
                <w:szCs w:val="18"/>
              </w:rPr>
              <w:t>7</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b/>
                <w:bCs/>
                <w:color w:val="000000"/>
                <w:sz w:val="18"/>
                <w:szCs w:val="18"/>
              </w:rPr>
              <w:t>7</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18"/>
                <w:szCs w:val="18"/>
              </w:rPr>
              <w:t>30302</w:t>
            </w:r>
          </w:p>
        </w:tc>
        <w:tc>
          <w:tcPr>
            <w:tcW w:w="1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cs="宋体"/>
                <w:color w:val="000000"/>
                <w:kern w:val="0"/>
                <w:sz w:val="18"/>
                <w:szCs w:val="18"/>
              </w:rPr>
              <w:t>退休费</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sz w:val="18"/>
                <w:szCs w:val="18"/>
              </w:rPr>
            </w:pPr>
            <w:r>
              <w:rPr>
                <w:rFonts w:hint="eastAsia" w:ascii="宋体" w:hAnsi="宋体" w:cs="宋体"/>
                <w:bCs/>
                <w:color w:val="000000"/>
                <w:sz w:val="18"/>
                <w:szCs w:val="18"/>
              </w:rPr>
              <w:t>7</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Cs/>
                <w:color w:val="000000"/>
                <w:sz w:val="18"/>
                <w:szCs w:val="18"/>
              </w:rPr>
            </w:pPr>
            <w:r>
              <w:rPr>
                <w:rFonts w:hint="eastAsia" w:ascii="宋体" w:hAnsi="宋体" w:cs="宋体"/>
                <w:bCs/>
                <w:color w:val="000000"/>
                <w:sz w:val="18"/>
                <w:szCs w:val="18"/>
              </w:rPr>
              <w:t>7</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18"/>
                <w:szCs w:val="18"/>
              </w:rPr>
            </w:pPr>
          </w:p>
        </w:tc>
      </w:tr>
      <w:tr>
        <w:tblPrEx>
          <w:tblLayout w:type="fixed"/>
          <w:tblCellMar>
            <w:top w:w="15" w:type="dxa"/>
            <w:left w:w="15" w:type="dxa"/>
            <w:bottom w:w="15" w:type="dxa"/>
            <w:right w:w="15" w:type="dxa"/>
          </w:tblCellMar>
        </w:tblPrEx>
        <w:trPr>
          <w:trHeight w:val="360" w:hRule="atLeast"/>
          <w:jc w:val="center"/>
        </w:trPr>
        <w:tc>
          <w:tcPr>
            <w:tcW w:w="3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b/>
                <w:color w:val="000000"/>
                <w:kern w:val="0"/>
                <w:sz w:val="20"/>
                <w:szCs w:val="20"/>
              </w:rPr>
              <w:t>合  计</w:t>
            </w:r>
          </w:p>
        </w:tc>
        <w:tc>
          <w:tcPr>
            <w:tcW w:w="187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kern w:val="0"/>
                <w:sz w:val="18"/>
                <w:szCs w:val="18"/>
              </w:rPr>
            </w:pPr>
            <w:r>
              <w:rPr>
                <w:rFonts w:hint="eastAsia" w:ascii="宋体" w:hAnsi="宋体" w:cs="宋体"/>
                <w:b/>
                <w:color w:val="000000"/>
                <w:kern w:val="0"/>
                <w:sz w:val="20"/>
                <w:szCs w:val="20"/>
              </w:rPr>
              <w:t xml:space="preserve">552.69 </w:t>
            </w:r>
          </w:p>
        </w:tc>
        <w:tc>
          <w:tcPr>
            <w:tcW w:w="20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kern w:val="0"/>
                <w:sz w:val="18"/>
                <w:szCs w:val="18"/>
              </w:rPr>
            </w:pPr>
            <w:r>
              <w:rPr>
                <w:rFonts w:hint="eastAsia" w:ascii="宋体" w:hAnsi="宋体" w:cs="宋体"/>
                <w:b/>
                <w:color w:val="000000"/>
                <w:kern w:val="0"/>
                <w:sz w:val="18"/>
                <w:szCs w:val="18"/>
              </w:rPr>
              <w:t>453.57</w:t>
            </w:r>
          </w:p>
        </w:tc>
        <w:tc>
          <w:tcPr>
            <w:tcW w:w="10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b/>
                <w:color w:val="000000"/>
                <w:kern w:val="0"/>
                <w:sz w:val="18"/>
                <w:szCs w:val="18"/>
              </w:rPr>
            </w:pPr>
            <w:r>
              <w:rPr>
                <w:rFonts w:hint="eastAsia" w:ascii="宋体" w:hAnsi="宋体" w:cs="宋体"/>
                <w:b/>
                <w:color w:val="000000"/>
                <w:kern w:val="0"/>
                <w:sz w:val="18"/>
                <w:szCs w:val="18"/>
              </w:rPr>
              <w:t>99.12</w:t>
            </w:r>
          </w:p>
        </w:tc>
      </w:tr>
    </w:tbl>
    <w:p>
      <w:pPr>
        <w:pStyle w:val="11"/>
        <w:widowControl/>
        <w:spacing w:beforeAutospacing="0" w:afterAutospacing="0" w:line="27" w:lineRule="atLeast"/>
        <w:jc w:val="both"/>
        <w:rPr>
          <w:rFonts w:ascii="黑体" w:hAnsi="黑体" w:eastAsia="黑体"/>
          <w:color w:val="000000"/>
          <w:sz w:val="32"/>
        </w:rPr>
        <w:sectPr>
          <w:pgSz w:w="11906" w:h="16838"/>
          <w:pgMar w:top="1440" w:right="1803" w:bottom="1440" w:left="1803" w:header="851" w:footer="992" w:gutter="0"/>
          <w:cols w:space="720" w:num="1"/>
          <w:docGrid w:type="lines" w:linePitch="319" w:charSpace="0"/>
        </w:sectPr>
      </w:pPr>
    </w:p>
    <w:tbl>
      <w:tblPr>
        <w:tblStyle w:val="10"/>
        <w:tblW w:w="14002" w:type="dxa"/>
        <w:tblInd w:w="0" w:type="dxa"/>
        <w:tblLayout w:type="fixed"/>
        <w:tblCellMar>
          <w:top w:w="15" w:type="dxa"/>
          <w:left w:w="15" w:type="dxa"/>
          <w:bottom w:w="15" w:type="dxa"/>
          <w:right w:w="15" w:type="dxa"/>
        </w:tblCellMar>
      </w:tblPr>
      <w:tblGrid>
        <w:gridCol w:w="1125"/>
        <w:gridCol w:w="4275"/>
        <w:gridCol w:w="179"/>
        <w:gridCol w:w="2100"/>
        <w:gridCol w:w="661"/>
        <w:gridCol w:w="1110"/>
        <w:gridCol w:w="329"/>
        <w:gridCol w:w="1733"/>
        <w:gridCol w:w="368"/>
        <w:gridCol w:w="2122"/>
      </w:tblGrid>
      <w:tr>
        <w:tblPrEx>
          <w:tblLayout w:type="fixed"/>
          <w:tblCellMar>
            <w:top w:w="15" w:type="dxa"/>
            <w:left w:w="15" w:type="dxa"/>
            <w:bottom w:w="15" w:type="dxa"/>
            <w:right w:w="15" w:type="dxa"/>
          </w:tblCellMar>
        </w:tblPrEx>
        <w:trPr>
          <w:trHeight w:val="563" w:hRule="atLeast"/>
        </w:trPr>
        <w:tc>
          <w:tcPr>
            <w:tcW w:w="5579" w:type="dxa"/>
            <w:gridSpan w:val="3"/>
            <w:vAlign w:val="center"/>
          </w:tcPr>
          <w:p>
            <w:pPr>
              <w:rPr>
                <w:rFonts w:ascii="宋体" w:hAnsi="宋体" w:cs="宋体"/>
                <w:color w:val="000000"/>
                <w:sz w:val="20"/>
                <w:szCs w:val="20"/>
              </w:rPr>
            </w:pPr>
          </w:p>
        </w:tc>
        <w:tc>
          <w:tcPr>
            <w:tcW w:w="2100" w:type="dxa"/>
            <w:vAlign w:val="center"/>
          </w:tcPr>
          <w:p>
            <w:pPr>
              <w:rPr>
                <w:rFonts w:ascii="宋体" w:hAnsi="宋体" w:cs="宋体"/>
                <w:b/>
                <w:color w:val="000000"/>
                <w:sz w:val="24"/>
              </w:rPr>
            </w:pPr>
          </w:p>
        </w:tc>
        <w:tc>
          <w:tcPr>
            <w:tcW w:w="2100" w:type="dxa"/>
            <w:gridSpan w:val="3"/>
            <w:vAlign w:val="center"/>
          </w:tcPr>
          <w:p>
            <w:pPr>
              <w:rPr>
                <w:rFonts w:ascii="宋体" w:hAnsi="宋体" w:cs="宋体"/>
                <w:color w:val="000000"/>
                <w:sz w:val="18"/>
                <w:szCs w:val="18"/>
              </w:rPr>
            </w:pPr>
          </w:p>
        </w:tc>
        <w:tc>
          <w:tcPr>
            <w:tcW w:w="2101" w:type="dxa"/>
            <w:gridSpan w:val="2"/>
            <w:vAlign w:val="center"/>
          </w:tcPr>
          <w:p>
            <w:pPr>
              <w:rPr>
                <w:rFonts w:ascii="宋体" w:hAnsi="宋体" w:cs="宋体"/>
                <w:color w:val="000000"/>
                <w:sz w:val="18"/>
                <w:szCs w:val="18"/>
              </w:rPr>
            </w:pPr>
          </w:p>
        </w:tc>
        <w:tc>
          <w:tcPr>
            <w:tcW w:w="2122"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部门公开表7</w:t>
            </w:r>
          </w:p>
        </w:tc>
      </w:tr>
      <w:tr>
        <w:tblPrEx>
          <w:tblLayout w:type="fixed"/>
          <w:tblCellMar>
            <w:top w:w="0" w:type="dxa"/>
            <w:left w:w="15" w:type="dxa"/>
            <w:bottom w:w="0" w:type="dxa"/>
            <w:right w:w="15" w:type="dxa"/>
          </w:tblCellMar>
        </w:tblPrEx>
        <w:trPr>
          <w:trHeight w:val="405" w:hRule="atLeast"/>
        </w:trPr>
        <w:tc>
          <w:tcPr>
            <w:tcW w:w="14002" w:type="dxa"/>
            <w:gridSpan w:val="10"/>
            <w:vAlign w:val="center"/>
          </w:tcPr>
          <w:p>
            <w:pPr>
              <w:autoSpaceDN w:val="0"/>
              <w:jc w:val="center"/>
              <w:textAlignment w:val="center"/>
              <w:rPr>
                <w:rFonts w:ascii="黑体" w:hAnsi="黑体" w:eastAsia="黑体"/>
                <w:color w:val="000000"/>
                <w:sz w:val="32"/>
              </w:rPr>
            </w:pPr>
            <w:r>
              <w:rPr>
                <w:rFonts w:ascii="黑体" w:hAnsi="黑体" w:eastAsia="黑体"/>
                <w:color w:val="000000"/>
                <w:sz w:val="32"/>
              </w:rPr>
              <w:t>政府性基金预算支出表</w:t>
            </w:r>
          </w:p>
        </w:tc>
      </w:tr>
      <w:tr>
        <w:tblPrEx>
          <w:tblLayout w:type="fixed"/>
          <w:tblCellMar>
            <w:top w:w="0" w:type="dxa"/>
            <w:left w:w="15" w:type="dxa"/>
            <w:bottom w:w="0" w:type="dxa"/>
            <w:right w:w="15" w:type="dxa"/>
          </w:tblCellMar>
        </w:tblPrEx>
        <w:trPr>
          <w:trHeight w:val="285" w:hRule="atLeast"/>
        </w:trPr>
        <w:tc>
          <w:tcPr>
            <w:tcW w:w="1125" w:type="dxa"/>
            <w:tcBorders>
              <w:bottom w:val="single" w:color="000000" w:sz="4" w:space="0"/>
            </w:tcBorders>
            <w:vAlign w:val="center"/>
          </w:tcPr>
          <w:p>
            <w:pPr>
              <w:autoSpaceDN w:val="0"/>
              <w:jc w:val="left"/>
              <w:textAlignment w:val="center"/>
              <w:rPr>
                <w:rFonts w:ascii="宋体" w:hAnsi="宋体"/>
                <w:color w:val="000000"/>
                <w:sz w:val="18"/>
              </w:rPr>
            </w:pPr>
          </w:p>
        </w:tc>
        <w:tc>
          <w:tcPr>
            <w:tcW w:w="4275" w:type="dxa"/>
            <w:tcBorders>
              <w:bottom w:val="single" w:color="000000" w:sz="4" w:space="0"/>
            </w:tcBorders>
            <w:vAlign w:val="center"/>
          </w:tcPr>
          <w:p>
            <w:pPr>
              <w:autoSpaceDN w:val="0"/>
              <w:jc w:val="left"/>
              <w:textAlignment w:val="center"/>
              <w:rPr>
                <w:rFonts w:ascii="宋体" w:hAnsi="宋体"/>
                <w:color w:val="000000"/>
                <w:sz w:val="24"/>
              </w:rPr>
            </w:pPr>
          </w:p>
        </w:tc>
        <w:tc>
          <w:tcPr>
            <w:tcW w:w="2940" w:type="dxa"/>
            <w:gridSpan w:val="3"/>
            <w:tcBorders>
              <w:bottom w:val="single" w:color="000000" w:sz="4" w:space="0"/>
            </w:tcBorders>
            <w:vAlign w:val="center"/>
          </w:tcPr>
          <w:p>
            <w:pPr>
              <w:autoSpaceDN w:val="0"/>
              <w:jc w:val="center"/>
              <w:textAlignment w:val="center"/>
              <w:rPr>
                <w:rFonts w:ascii="宋体" w:hAnsi="宋体"/>
                <w:color w:val="000000"/>
                <w:sz w:val="24"/>
              </w:rPr>
            </w:pPr>
          </w:p>
        </w:tc>
        <w:tc>
          <w:tcPr>
            <w:tcW w:w="1110" w:type="dxa"/>
            <w:tcBorders>
              <w:bottom w:val="single" w:color="000000" w:sz="4" w:space="0"/>
            </w:tcBorders>
            <w:vAlign w:val="center"/>
          </w:tcPr>
          <w:p>
            <w:pPr>
              <w:autoSpaceDN w:val="0"/>
              <w:jc w:val="center"/>
              <w:textAlignment w:val="center"/>
              <w:rPr>
                <w:rFonts w:ascii="宋体" w:hAnsi="宋体"/>
                <w:color w:val="000000"/>
                <w:sz w:val="24"/>
              </w:rPr>
            </w:pPr>
          </w:p>
        </w:tc>
        <w:tc>
          <w:tcPr>
            <w:tcW w:w="4552" w:type="dxa"/>
            <w:gridSpan w:val="4"/>
            <w:vAlign w:val="center"/>
          </w:tcPr>
          <w:p>
            <w:pPr>
              <w:autoSpaceDN w:val="0"/>
              <w:jc w:val="right"/>
              <w:textAlignment w:val="center"/>
              <w:rPr>
                <w:rFonts w:ascii="宋体" w:hAnsi="宋体"/>
                <w:color w:val="000000"/>
                <w:sz w:val="20"/>
              </w:rPr>
            </w:pPr>
            <w:r>
              <w:rPr>
                <w:rFonts w:ascii="宋体" w:hAnsi="宋体"/>
                <w:color w:val="000000"/>
                <w:sz w:val="20"/>
              </w:rPr>
              <w:t>单位：万元</w:t>
            </w:r>
          </w:p>
        </w:tc>
      </w:tr>
      <w:tr>
        <w:tblPrEx>
          <w:tblLayout w:type="fixed"/>
          <w:tblCellMar>
            <w:top w:w="0" w:type="dxa"/>
            <w:left w:w="15" w:type="dxa"/>
            <w:bottom w:w="0" w:type="dxa"/>
            <w:right w:w="15" w:type="dxa"/>
          </w:tblCellMar>
        </w:tblPrEx>
        <w:trPr>
          <w:trHeight w:val="435" w:hRule="atLeast"/>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科目编码</w:t>
            </w:r>
          </w:p>
        </w:tc>
        <w:tc>
          <w:tcPr>
            <w:tcW w:w="42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科目名称</w:t>
            </w:r>
          </w:p>
        </w:tc>
        <w:tc>
          <w:tcPr>
            <w:tcW w:w="8602"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202</w:t>
            </w:r>
            <w:r>
              <w:rPr>
                <w:rFonts w:hint="eastAsia" w:ascii="宋体" w:hAnsi="宋体"/>
                <w:color w:val="000000"/>
                <w:sz w:val="20"/>
              </w:rPr>
              <w:t>3</w:t>
            </w:r>
            <w:r>
              <w:rPr>
                <w:rFonts w:ascii="宋体" w:hAnsi="宋体"/>
                <w:color w:val="000000"/>
                <w:sz w:val="20"/>
              </w:rPr>
              <w:t>年政府性基金预算支出</w:t>
            </w:r>
          </w:p>
        </w:tc>
      </w:tr>
      <w:tr>
        <w:tblPrEx>
          <w:tblLayout w:type="fixed"/>
          <w:tblCellMar>
            <w:top w:w="0" w:type="dxa"/>
            <w:left w:w="15" w:type="dxa"/>
            <w:bottom w:w="0" w:type="dxa"/>
            <w:right w:w="15" w:type="dxa"/>
          </w:tblCellMar>
        </w:tblPrEx>
        <w:trPr>
          <w:trHeight w:val="435" w:hRule="atLeast"/>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42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sz w:val="24"/>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hint="eastAsia" w:ascii="宋体" w:hAnsi="宋体"/>
                <w:color w:val="000000"/>
                <w:sz w:val="20"/>
              </w:rPr>
              <w:t>合</w:t>
            </w:r>
            <w:r>
              <w:rPr>
                <w:rFonts w:ascii="宋体" w:hAnsi="宋体"/>
                <w:color w:val="000000"/>
                <w:sz w:val="20"/>
              </w:rPr>
              <w:t>计</w:t>
            </w: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基本支出</w:t>
            </w: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项目支出</w:t>
            </w: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i/>
                <w:color w:val="000000"/>
                <w:sz w:val="20"/>
              </w:rPr>
            </w:pPr>
          </w:p>
        </w:tc>
        <w:tc>
          <w:tcPr>
            <w:tcW w:w="3172"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i/>
                <w:color w:val="000000"/>
                <w:sz w:val="20"/>
              </w:rPr>
            </w:pPr>
          </w:p>
        </w:tc>
        <w:tc>
          <w:tcPr>
            <w:tcW w:w="2490"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540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合   计</w:t>
            </w: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285" w:hRule="atLeast"/>
        </w:trPr>
        <w:tc>
          <w:tcPr>
            <w:tcW w:w="14002" w:type="dxa"/>
            <w:gridSpan w:val="10"/>
            <w:vAlign w:val="center"/>
          </w:tcPr>
          <w:p>
            <w:pPr>
              <w:autoSpaceDN w:val="0"/>
              <w:jc w:val="left"/>
              <w:textAlignment w:val="center"/>
              <w:rPr>
                <w:rFonts w:ascii="宋体" w:hAnsi="宋体"/>
                <w:color w:val="000000"/>
                <w:sz w:val="22"/>
              </w:rPr>
            </w:pPr>
            <w:r>
              <w:rPr>
                <w:rFonts w:ascii="宋体" w:hAnsi="宋体"/>
                <w:color w:val="000000"/>
                <w:sz w:val="22"/>
              </w:rPr>
              <w:t>(注：202</w:t>
            </w:r>
            <w:r>
              <w:rPr>
                <w:rFonts w:hint="eastAsia" w:ascii="宋体" w:hAnsi="宋体"/>
                <w:color w:val="000000"/>
                <w:sz w:val="22"/>
              </w:rPr>
              <w:t>3</w:t>
            </w:r>
            <w:r>
              <w:rPr>
                <w:rFonts w:ascii="宋体" w:hAnsi="宋体"/>
                <w:color w:val="000000"/>
                <w:sz w:val="22"/>
              </w:rPr>
              <w:t>年浙江省通信管理局</w:t>
            </w:r>
            <w:r>
              <w:rPr>
                <w:rFonts w:hint="eastAsia" w:ascii="宋体" w:hAnsi="宋体"/>
                <w:color w:val="000000"/>
                <w:sz w:val="22"/>
              </w:rPr>
              <w:t>无</w:t>
            </w:r>
            <w:r>
              <w:rPr>
                <w:rFonts w:ascii="宋体" w:hAnsi="宋体"/>
                <w:color w:val="000000"/>
                <w:sz w:val="22"/>
              </w:rPr>
              <w:t>政府性基金预算</w:t>
            </w:r>
            <w:r>
              <w:rPr>
                <w:rFonts w:hint="eastAsia" w:ascii="宋体" w:hAnsi="宋体"/>
                <w:color w:val="000000"/>
                <w:sz w:val="22"/>
              </w:rPr>
              <w:t>收入，也无使用政府性基金预算安排的支出，故本表无数据。</w:t>
            </w:r>
            <w:r>
              <w:rPr>
                <w:rFonts w:ascii="宋体" w:hAnsi="宋体"/>
                <w:color w:val="000000"/>
                <w:sz w:val="22"/>
              </w:rPr>
              <w:t>)</w:t>
            </w:r>
          </w:p>
        </w:tc>
      </w:tr>
    </w:tbl>
    <w:p>
      <w:pPr>
        <w:pStyle w:val="11"/>
        <w:widowControl/>
        <w:spacing w:beforeAutospacing="0" w:afterAutospacing="0" w:line="27" w:lineRule="atLeast"/>
        <w:jc w:val="center"/>
        <w:rPr>
          <w:rFonts w:ascii="宋体" w:hAnsi="宋体" w:cs="宋体"/>
          <w:color w:val="070707"/>
        </w:rPr>
      </w:pPr>
    </w:p>
    <w:p>
      <w:pPr>
        <w:pStyle w:val="11"/>
        <w:widowControl/>
        <w:spacing w:beforeAutospacing="0" w:afterAutospacing="0" w:line="27" w:lineRule="atLeast"/>
        <w:jc w:val="center"/>
        <w:rPr>
          <w:rFonts w:ascii="宋体" w:hAnsi="宋体" w:cs="宋体"/>
          <w:color w:val="070707"/>
        </w:rPr>
      </w:pPr>
    </w:p>
    <w:p>
      <w:pPr>
        <w:pStyle w:val="11"/>
        <w:widowControl/>
        <w:spacing w:beforeAutospacing="0" w:afterAutospacing="0" w:line="27" w:lineRule="atLeast"/>
        <w:jc w:val="center"/>
        <w:rPr>
          <w:rFonts w:ascii="宋体" w:hAnsi="宋体" w:cs="宋体"/>
          <w:color w:val="070707"/>
        </w:rPr>
      </w:pPr>
    </w:p>
    <w:p>
      <w:pPr>
        <w:pStyle w:val="11"/>
        <w:widowControl/>
        <w:spacing w:beforeAutospacing="0" w:afterAutospacing="0" w:line="27" w:lineRule="atLeast"/>
        <w:jc w:val="center"/>
        <w:rPr>
          <w:rFonts w:ascii="宋体" w:hAnsi="宋体" w:cs="宋体"/>
          <w:color w:val="070707"/>
        </w:rPr>
      </w:pPr>
    </w:p>
    <w:p>
      <w:pPr>
        <w:pStyle w:val="11"/>
        <w:widowControl/>
        <w:spacing w:beforeAutospacing="0" w:afterAutospacing="0" w:line="27" w:lineRule="atLeast"/>
        <w:jc w:val="center"/>
        <w:rPr>
          <w:rFonts w:ascii="宋体" w:hAnsi="宋体" w:cs="宋体"/>
          <w:color w:val="070707"/>
        </w:rPr>
      </w:pPr>
    </w:p>
    <w:p>
      <w:pPr>
        <w:pStyle w:val="11"/>
        <w:widowControl/>
        <w:spacing w:beforeAutospacing="0" w:afterAutospacing="0" w:line="27" w:lineRule="atLeast"/>
        <w:jc w:val="center"/>
        <w:rPr>
          <w:rFonts w:ascii="宋体" w:hAnsi="宋体" w:cs="宋体"/>
          <w:color w:val="070707"/>
        </w:rPr>
      </w:pPr>
    </w:p>
    <w:tbl>
      <w:tblPr>
        <w:tblStyle w:val="10"/>
        <w:tblW w:w="14002" w:type="dxa"/>
        <w:tblInd w:w="0" w:type="dxa"/>
        <w:tblLayout w:type="fixed"/>
        <w:tblCellMar>
          <w:top w:w="15" w:type="dxa"/>
          <w:left w:w="15" w:type="dxa"/>
          <w:bottom w:w="15" w:type="dxa"/>
          <w:right w:w="15" w:type="dxa"/>
        </w:tblCellMar>
      </w:tblPr>
      <w:tblGrid>
        <w:gridCol w:w="1125"/>
        <w:gridCol w:w="4275"/>
        <w:gridCol w:w="179"/>
        <w:gridCol w:w="2100"/>
        <w:gridCol w:w="661"/>
        <w:gridCol w:w="1110"/>
        <w:gridCol w:w="329"/>
        <w:gridCol w:w="1733"/>
        <w:gridCol w:w="368"/>
        <w:gridCol w:w="2100"/>
        <w:gridCol w:w="22"/>
      </w:tblGrid>
      <w:tr>
        <w:tblPrEx>
          <w:tblLayout w:type="fixed"/>
          <w:tblCellMar>
            <w:top w:w="15" w:type="dxa"/>
            <w:left w:w="15" w:type="dxa"/>
            <w:bottom w:w="15" w:type="dxa"/>
            <w:right w:w="15" w:type="dxa"/>
          </w:tblCellMar>
        </w:tblPrEx>
        <w:trPr>
          <w:gridAfter w:val="1"/>
          <w:wAfter w:w="22" w:type="dxa"/>
          <w:trHeight w:val="563" w:hRule="atLeast"/>
        </w:trPr>
        <w:tc>
          <w:tcPr>
            <w:tcW w:w="5579" w:type="dxa"/>
            <w:gridSpan w:val="3"/>
            <w:vAlign w:val="center"/>
          </w:tcPr>
          <w:p>
            <w:pPr>
              <w:rPr>
                <w:rFonts w:ascii="宋体" w:hAnsi="宋体" w:cs="宋体"/>
                <w:color w:val="000000"/>
                <w:sz w:val="20"/>
                <w:szCs w:val="20"/>
              </w:rPr>
            </w:pPr>
          </w:p>
        </w:tc>
        <w:tc>
          <w:tcPr>
            <w:tcW w:w="2100" w:type="dxa"/>
            <w:vAlign w:val="center"/>
          </w:tcPr>
          <w:p>
            <w:pPr>
              <w:rPr>
                <w:rFonts w:ascii="宋体" w:hAnsi="宋体" w:cs="宋体"/>
                <w:b/>
                <w:color w:val="000000"/>
                <w:sz w:val="24"/>
              </w:rPr>
            </w:pPr>
          </w:p>
        </w:tc>
        <w:tc>
          <w:tcPr>
            <w:tcW w:w="2100" w:type="dxa"/>
            <w:gridSpan w:val="3"/>
            <w:vAlign w:val="center"/>
          </w:tcPr>
          <w:p>
            <w:pPr>
              <w:rPr>
                <w:rFonts w:ascii="宋体" w:hAnsi="宋体" w:cs="宋体"/>
                <w:color w:val="000000"/>
                <w:sz w:val="18"/>
                <w:szCs w:val="18"/>
              </w:rPr>
            </w:pPr>
          </w:p>
        </w:tc>
        <w:tc>
          <w:tcPr>
            <w:tcW w:w="2101" w:type="dxa"/>
            <w:gridSpan w:val="2"/>
            <w:vAlign w:val="center"/>
          </w:tcPr>
          <w:p>
            <w:pPr>
              <w:rPr>
                <w:rFonts w:ascii="宋体" w:hAnsi="宋体" w:cs="宋体"/>
                <w:color w:val="000000"/>
                <w:sz w:val="18"/>
                <w:szCs w:val="18"/>
              </w:rPr>
            </w:pPr>
          </w:p>
        </w:tc>
        <w:tc>
          <w:tcPr>
            <w:tcW w:w="2100"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部门公开表8</w:t>
            </w:r>
          </w:p>
        </w:tc>
      </w:tr>
      <w:tr>
        <w:tblPrEx>
          <w:tblLayout w:type="fixed"/>
          <w:tblCellMar>
            <w:top w:w="0" w:type="dxa"/>
            <w:left w:w="15" w:type="dxa"/>
            <w:bottom w:w="0" w:type="dxa"/>
            <w:right w:w="15" w:type="dxa"/>
          </w:tblCellMar>
        </w:tblPrEx>
        <w:trPr>
          <w:trHeight w:val="405" w:hRule="atLeast"/>
        </w:trPr>
        <w:tc>
          <w:tcPr>
            <w:tcW w:w="14002" w:type="dxa"/>
            <w:gridSpan w:val="11"/>
            <w:vAlign w:val="center"/>
          </w:tcPr>
          <w:p>
            <w:pPr>
              <w:autoSpaceDN w:val="0"/>
              <w:jc w:val="center"/>
              <w:textAlignment w:val="center"/>
              <w:rPr>
                <w:rFonts w:ascii="黑体" w:hAnsi="黑体" w:eastAsia="黑体"/>
                <w:color w:val="000000"/>
                <w:sz w:val="32"/>
              </w:rPr>
            </w:pPr>
            <w:r>
              <w:rPr>
                <w:rFonts w:ascii="黑体" w:hAnsi="黑体" w:eastAsia="黑体"/>
                <w:color w:val="000000"/>
                <w:sz w:val="32"/>
              </w:rPr>
              <w:t>国有资本经营预算支出表</w:t>
            </w:r>
          </w:p>
        </w:tc>
      </w:tr>
      <w:tr>
        <w:tblPrEx>
          <w:tblLayout w:type="fixed"/>
          <w:tblCellMar>
            <w:top w:w="0" w:type="dxa"/>
            <w:left w:w="15" w:type="dxa"/>
            <w:bottom w:w="0" w:type="dxa"/>
            <w:right w:w="15" w:type="dxa"/>
          </w:tblCellMar>
        </w:tblPrEx>
        <w:trPr>
          <w:trHeight w:val="285" w:hRule="atLeast"/>
        </w:trPr>
        <w:tc>
          <w:tcPr>
            <w:tcW w:w="1125" w:type="dxa"/>
            <w:tcBorders>
              <w:bottom w:val="single" w:color="000000" w:sz="4" w:space="0"/>
            </w:tcBorders>
            <w:vAlign w:val="center"/>
          </w:tcPr>
          <w:p>
            <w:pPr>
              <w:autoSpaceDN w:val="0"/>
              <w:jc w:val="left"/>
              <w:textAlignment w:val="center"/>
              <w:rPr>
                <w:rFonts w:ascii="宋体" w:hAnsi="宋体"/>
                <w:color w:val="000000"/>
                <w:sz w:val="18"/>
              </w:rPr>
            </w:pPr>
          </w:p>
        </w:tc>
        <w:tc>
          <w:tcPr>
            <w:tcW w:w="4275" w:type="dxa"/>
            <w:tcBorders>
              <w:bottom w:val="single" w:color="000000" w:sz="4" w:space="0"/>
            </w:tcBorders>
            <w:vAlign w:val="center"/>
          </w:tcPr>
          <w:p>
            <w:pPr>
              <w:autoSpaceDN w:val="0"/>
              <w:jc w:val="left"/>
              <w:textAlignment w:val="center"/>
              <w:rPr>
                <w:rFonts w:ascii="宋体" w:hAnsi="宋体"/>
                <w:color w:val="000000"/>
                <w:sz w:val="24"/>
              </w:rPr>
            </w:pPr>
          </w:p>
        </w:tc>
        <w:tc>
          <w:tcPr>
            <w:tcW w:w="2940" w:type="dxa"/>
            <w:gridSpan w:val="3"/>
            <w:tcBorders>
              <w:bottom w:val="single" w:color="000000" w:sz="4" w:space="0"/>
            </w:tcBorders>
            <w:vAlign w:val="center"/>
          </w:tcPr>
          <w:p>
            <w:pPr>
              <w:autoSpaceDN w:val="0"/>
              <w:jc w:val="center"/>
              <w:textAlignment w:val="center"/>
              <w:rPr>
                <w:rFonts w:ascii="宋体" w:hAnsi="宋体"/>
                <w:color w:val="000000"/>
                <w:sz w:val="24"/>
              </w:rPr>
            </w:pPr>
          </w:p>
        </w:tc>
        <w:tc>
          <w:tcPr>
            <w:tcW w:w="1110" w:type="dxa"/>
            <w:tcBorders>
              <w:bottom w:val="single" w:color="000000" w:sz="4" w:space="0"/>
            </w:tcBorders>
            <w:vAlign w:val="center"/>
          </w:tcPr>
          <w:p>
            <w:pPr>
              <w:autoSpaceDN w:val="0"/>
              <w:jc w:val="center"/>
              <w:textAlignment w:val="center"/>
              <w:rPr>
                <w:rFonts w:ascii="宋体" w:hAnsi="宋体"/>
                <w:color w:val="000000"/>
                <w:sz w:val="24"/>
              </w:rPr>
            </w:pPr>
          </w:p>
        </w:tc>
        <w:tc>
          <w:tcPr>
            <w:tcW w:w="4552" w:type="dxa"/>
            <w:gridSpan w:val="5"/>
            <w:vAlign w:val="center"/>
          </w:tcPr>
          <w:p>
            <w:pPr>
              <w:autoSpaceDN w:val="0"/>
              <w:jc w:val="right"/>
              <w:textAlignment w:val="center"/>
              <w:rPr>
                <w:rFonts w:ascii="宋体" w:hAnsi="宋体"/>
                <w:color w:val="000000"/>
                <w:sz w:val="20"/>
              </w:rPr>
            </w:pPr>
            <w:r>
              <w:rPr>
                <w:rFonts w:ascii="宋体" w:hAnsi="宋体"/>
                <w:color w:val="000000"/>
                <w:sz w:val="20"/>
              </w:rPr>
              <w:t>单位：万元</w:t>
            </w:r>
          </w:p>
        </w:tc>
      </w:tr>
      <w:tr>
        <w:tblPrEx>
          <w:tblLayout w:type="fixed"/>
          <w:tblCellMar>
            <w:top w:w="0" w:type="dxa"/>
            <w:left w:w="15" w:type="dxa"/>
            <w:bottom w:w="0" w:type="dxa"/>
            <w:right w:w="15" w:type="dxa"/>
          </w:tblCellMar>
        </w:tblPrEx>
        <w:trPr>
          <w:trHeight w:val="435" w:hRule="atLeast"/>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科目编码</w:t>
            </w:r>
          </w:p>
        </w:tc>
        <w:tc>
          <w:tcPr>
            <w:tcW w:w="42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科目名称</w:t>
            </w:r>
          </w:p>
        </w:tc>
        <w:tc>
          <w:tcPr>
            <w:tcW w:w="8602" w:type="dxa"/>
            <w:gridSpan w:val="9"/>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202</w:t>
            </w:r>
            <w:r>
              <w:rPr>
                <w:rFonts w:hint="eastAsia" w:ascii="宋体" w:hAnsi="宋体"/>
                <w:color w:val="000000"/>
                <w:sz w:val="20"/>
              </w:rPr>
              <w:t>3</w:t>
            </w:r>
            <w:r>
              <w:rPr>
                <w:rFonts w:ascii="宋体" w:hAnsi="宋体"/>
                <w:color w:val="000000"/>
                <w:sz w:val="20"/>
              </w:rPr>
              <w:t>年国有资本经营预算支出</w:t>
            </w:r>
          </w:p>
        </w:tc>
      </w:tr>
      <w:tr>
        <w:tblPrEx>
          <w:tblLayout w:type="fixed"/>
          <w:tblCellMar>
            <w:top w:w="0" w:type="dxa"/>
            <w:left w:w="15" w:type="dxa"/>
            <w:bottom w:w="0" w:type="dxa"/>
            <w:right w:w="15" w:type="dxa"/>
          </w:tblCellMar>
        </w:tblPrEx>
        <w:trPr>
          <w:trHeight w:val="435" w:hRule="atLeast"/>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42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ascii="宋体" w:hAnsi="宋体"/>
                <w:sz w:val="24"/>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小计</w:t>
            </w: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基本支出</w:t>
            </w:r>
          </w:p>
        </w:tc>
        <w:tc>
          <w:tcPr>
            <w:tcW w:w="249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项目支出</w:t>
            </w: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i/>
                <w:color w:val="000000"/>
                <w:sz w:val="20"/>
              </w:rPr>
            </w:pPr>
          </w:p>
        </w:tc>
        <w:tc>
          <w:tcPr>
            <w:tcW w:w="3172"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i/>
                <w:color w:val="000000"/>
                <w:sz w:val="20"/>
              </w:rPr>
            </w:pPr>
          </w:p>
        </w:tc>
        <w:tc>
          <w:tcPr>
            <w:tcW w:w="249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42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color w:val="000000"/>
                <w:sz w:val="20"/>
              </w:rPr>
            </w:pP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435" w:hRule="atLeast"/>
        </w:trPr>
        <w:tc>
          <w:tcPr>
            <w:tcW w:w="540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合   计</w:t>
            </w: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3172"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c>
          <w:tcPr>
            <w:tcW w:w="249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0"/>
              </w:rPr>
            </w:pPr>
          </w:p>
        </w:tc>
      </w:tr>
      <w:tr>
        <w:tblPrEx>
          <w:tblLayout w:type="fixed"/>
          <w:tblCellMar>
            <w:top w:w="0" w:type="dxa"/>
            <w:left w:w="15" w:type="dxa"/>
            <w:bottom w:w="0" w:type="dxa"/>
            <w:right w:w="15" w:type="dxa"/>
          </w:tblCellMar>
        </w:tblPrEx>
        <w:trPr>
          <w:trHeight w:val="285" w:hRule="atLeast"/>
        </w:trPr>
        <w:tc>
          <w:tcPr>
            <w:tcW w:w="14002" w:type="dxa"/>
            <w:gridSpan w:val="11"/>
            <w:vAlign w:val="center"/>
          </w:tcPr>
          <w:p>
            <w:pPr>
              <w:autoSpaceDN w:val="0"/>
              <w:jc w:val="left"/>
              <w:textAlignment w:val="center"/>
              <w:rPr>
                <w:rFonts w:ascii="宋体" w:hAnsi="宋体"/>
                <w:color w:val="000000"/>
                <w:sz w:val="22"/>
              </w:rPr>
            </w:pPr>
            <w:r>
              <w:rPr>
                <w:rFonts w:ascii="宋体" w:hAnsi="宋体"/>
                <w:color w:val="000000"/>
                <w:sz w:val="22"/>
              </w:rPr>
              <w:t>(注：202</w:t>
            </w:r>
            <w:r>
              <w:rPr>
                <w:rFonts w:hint="eastAsia" w:ascii="宋体" w:hAnsi="宋体"/>
                <w:color w:val="000000"/>
                <w:sz w:val="22"/>
              </w:rPr>
              <w:t>3</w:t>
            </w:r>
            <w:r>
              <w:rPr>
                <w:rFonts w:ascii="宋体" w:hAnsi="宋体"/>
                <w:color w:val="000000"/>
                <w:sz w:val="22"/>
              </w:rPr>
              <w:t>年浙江省通信管理局</w:t>
            </w:r>
            <w:r>
              <w:rPr>
                <w:rFonts w:hint="eastAsia" w:ascii="宋体" w:hAnsi="宋体"/>
                <w:color w:val="000000"/>
                <w:sz w:val="22"/>
              </w:rPr>
              <w:t>无国有资本经营</w:t>
            </w:r>
            <w:r>
              <w:rPr>
                <w:rFonts w:ascii="宋体" w:hAnsi="宋体"/>
                <w:color w:val="000000"/>
                <w:sz w:val="22"/>
              </w:rPr>
              <w:t>预算</w:t>
            </w:r>
            <w:r>
              <w:rPr>
                <w:rFonts w:hint="eastAsia" w:ascii="宋体" w:hAnsi="宋体"/>
                <w:color w:val="000000"/>
                <w:sz w:val="22"/>
              </w:rPr>
              <w:t>收入，也无使用国有资本经营预算安排的支出，故本表无数据。</w:t>
            </w:r>
            <w:r>
              <w:rPr>
                <w:rFonts w:ascii="宋体" w:hAnsi="宋体"/>
                <w:color w:val="000000"/>
                <w:sz w:val="22"/>
              </w:rPr>
              <w:t>)</w:t>
            </w:r>
          </w:p>
        </w:tc>
      </w:tr>
    </w:tbl>
    <w:p>
      <w:pPr>
        <w:pStyle w:val="11"/>
        <w:widowControl/>
        <w:spacing w:beforeAutospacing="0" w:afterAutospacing="0" w:line="27" w:lineRule="atLeast"/>
        <w:jc w:val="both"/>
      </w:pPr>
    </w:p>
    <w:p>
      <w:pPr>
        <w:pStyle w:val="11"/>
        <w:widowControl/>
        <w:spacing w:beforeAutospacing="0" w:afterAutospacing="0" w:line="27" w:lineRule="atLeast"/>
        <w:jc w:val="both"/>
      </w:pPr>
    </w:p>
    <w:p>
      <w:pPr>
        <w:pStyle w:val="11"/>
        <w:widowControl/>
        <w:spacing w:beforeAutospacing="0" w:afterAutospacing="0" w:line="27" w:lineRule="atLeast"/>
        <w:jc w:val="both"/>
      </w:pPr>
    </w:p>
    <w:p>
      <w:pPr>
        <w:pStyle w:val="11"/>
        <w:widowControl/>
        <w:spacing w:beforeAutospacing="0" w:afterAutospacing="0" w:line="27" w:lineRule="atLeast"/>
        <w:jc w:val="both"/>
      </w:pPr>
    </w:p>
    <w:p>
      <w:pPr>
        <w:pStyle w:val="11"/>
        <w:widowControl/>
        <w:spacing w:beforeAutospacing="0" w:afterAutospacing="0" w:line="27" w:lineRule="atLeast"/>
        <w:jc w:val="both"/>
      </w:pPr>
    </w:p>
    <w:tbl>
      <w:tblPr>
        <w:tblStyle w:val="10"/>
        <w:tblpPr w:leftFromText="181" w:rightFromText="181" w:tblpXSpec="center" w:tblpYSpec="center"/>
        <w:tblOverlap w:val="never"/>
        <w:tblW w:w="13253" w:type="dxa"/>
        <w:jc w:val="center"/>
        <w:tblInd w:w="0" w:type="dxa"/>
        <w:tblLayout w:type="fixed"/>
        <w:tblCellMar>
          <w:top w:w="15" w:type="dxa"/>
          <w:left w:w="15" w:type="dxa"/>
          <w:bottom w:w="15" w:type="dxa"/>
          <w:right w:w="15" w:type="dxa"/>
        </w:tblCellMar>
      </w:tblPr>
      <w:tblGrid>
        <w:gridCol w:w="1352"/>
        <w:gridCol w:w="1065"/>
        <w:gridCol w:w="1053"/>
        <w:gridCol w:w="1052"/>
        <w:gridCol w:w="1053"/>
        <w:gridCol w:w="1347"/>
        <w:gridCol w:w="1052"/>
        <w:gridCol w:w="1065"/>
        <w:gridCol w:w="1052"/>
        <w:gridCol w:w="1052"/>
        <w:gridCol w:w="591"/>
        <w:gridCol w:w="461"/>
        <w:gridCol w:w="1058"/>
      </w:tblGrid>
      <w:tr>
        <w:tblPrEx>
          <w:tblLayout w:type="fixed"/>
          <w:tblCellMar>
            <w:top w:w="15" w:type="dxa"/>
            <w:left w:w="15" w:type="dxa"/>
            <w:bottom w:w="15" w:type="dxa"/>
            <w:right w:w="15" w:type="dxa"/>
          </w:tblCellMar>
        </w:tblPrEx>
        <w:trPr>
          <w:trHeight w:val="55" w:hRule="atLeast"/>
          <w:jc w:val="center"/>
        </w:trPr>
        <w:tc>
          <w:tcPr>
            <w:tcW w:w="1352" w:type="dxa"/>
            <w:vAlign w:val="center"/>
          </w:tcPr>
          <w:p>
            <w:pPr>
              <w:rPr>
                <w:rFonts w:ascii="宋体" w:hAnsi="宋体" w:cs="宋体"/>
                <w:color w:val="000000"/>
                <w:sz w:val="20"/>
                <w:szCs w:val="20"/>
              </w:rPr>
            </w:pPr>
          </w:p>
        </w:tc>
        <w:tc>
          <w:tcPr>
            <w:tcW w:w="1065" w:type="dxa"/>
            <w:vAlign w:val="center"/>
          </w:tcPr>
          <w:p>
            <w:pPr>
              <w:rPr>
                <w:rFonts w:ascii="宋体" w:hAnsi="宋体" w:cs="宋体"/>
                <w:color w:val="000000"/>
                <w:sz w:val="24"/>
              </w:rPr>
            </w:pPr>
          </w:p>
        </w:tc>
        <w:tc>
          <w:tcPr>
            <w:tcW w:w="1053" w:type="dxa"/>
            <w:vAlign w:val="center"/>
          </w:tcPr>
          <w:p>
            <w:pPr>
              <w:rPr>
                <w:rFonts w:ascii="宋体" w:hAnsi="宋体" w:cs="宋体"/>
                <w:color w:val="000000"/>
                <w:sz w:val="24"/>
              </w:rPr>
            </w:pPr>
          </w:p>
        </w:tc>
        <w:tc>
          <w:tcPr>
            <w:tcW w:w="1052" w:type="dxa"/>
            <w:vAlign w:val="center"/>
          </w:tcPr>
          <w:p>
            <w:pPr>
              <w:rPr>
                <w:rFonts w:ascii="宋体" w:hAnsi="宋体" w:cs="宋体"/>
                <w:color w:val="000000"/>
                <w:sz w:val="24"/>
              </w:rPr>
            </w:pPr>
          </w:p>
        </w:tc>
        <w:tc>
          <w:tcPr>
            <w:tcW w:w="1053" w:type="dxa"/>
            <w:vAlign w:val="center"/>
          </w:tcPr>
          <w:p>
            <w:pPr>
              <w:rPr>
                <w:rFonts w:ascii="宋体" w:hAnsi="宋体" w:cs="宋体"/>
                <w:color w:val="000000"/>
                <w:sz w:val="24"/>
              </w:rPr>
            </w:pPr>
          </w:p>
        </w:tc>
        <w:tc>
          <w:tcPr>
            <w:tcW w:w="1347" w:type="dxa"/>
            <w:vAlign w:val="center"/>
          </w:tcPr>
          <w:p>
            <w:pPr>
              <w:rPr>
                <w:rFonts w:ascii="宋体" w:hAnsi="宋体" w:cs="宋体"/>
                <w:color w:val="000000"/>
                <w:sz w:val="24"/>
              </w:rPr>
            </w:pPr>
          </w:p>
        </w:tc>
        <w:tc>
          <w:tcPr>
            <w:tcW w:w="1052" w:type="dxa"/>
            <w:vAlign w:val="center"/>
          </w:tcPr>
          <w:p>
            <w:pPr>
              <w:rPr>
                <w:rFonts w:ascii="宋体" w:hAnsi="宋体" w:cs="宋体"/>
                <w:color w:val="000000"/>
                <w:sz w:val="24"/>
              </w:rPr>
            </w:pPr>
          </w:p>
        </w:tc>
        <w:tc>
          <w:tcPr>
            <w:tcW w:w="1065" w:type="dxa"/>
            <w:vAlign w:val="center"/>
          </w:tcPr>
          <w:p>
            <w:pPr>
              <w:rPr>
                <w:rFonts w:ascii="宋体" w:hAnsi="宋体" w:cs="宋体"/>
                <w:color w:val="000000"/>
                <w:sz w:val="24"/>
              </w:rPr>
            </w:pPr>
          </w:p>
        </w:tc>
        <w:tc>
          <w:tcPr>
            <w:tcW w:w="1052" w:type="dxa"/>
            <w:vAlign w:val="center"/>
          </w:tcPr>
          <w:p>
            <w:pPr>
              <w:rPr>
                <w:rFonts w:ascii="宋体" w:hAnsi="宋体" w:cs="宋体"/>
                <w:color w:val="000000"/>
                <w:sz w:val="24"/>
              </w:rPr>
            </w:pPr>
          </w:p>
        </w:tc>
        <w:tc>
          <w:tcPr>
            <w:tcW w:w="1052" w:type="dxa"/>
            <w:vAlign w:val="center"/>
          </w:tcPr>
          <w:p>
            <w:pPr>
              <w:rPr>
                <w:rFonts w:ascii="宋体" w:hAnsi="宋体" w:cs="宋体"/>
                <w:color w:val="000000"/>
                <w:sz w:val="24"/>
              </w:rPr>
            </w:pPr>
          </w:p>
        </w:tc>
        <w:tc>
          <w:tcPr>
            <w:tcW w:w="591" w:type="dxa"/>
            <w:vAlign w:val="center"/>
          </w:tcPr>
          <w:p>
            <w:pPr>
              <w:rPr>
                <w:rFonts w:ascii="宋体" w:hAnsi="宋体" w:cs="宋体"/>
                <w:color w:val="000000"/>
                <w:sz w:val="24"/>
              </w:rPr>
            </w:pPr>
          </w:p>
        </w:tc>
        <w:tc>
          <w:tcPr>
            <w:tcW w:w="1519" w:type="dxa"/>
            <w:gridSpan w:val="2"/>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部门公开表9</w:t>
            </w:r>
          </w:p>
        </w:tc>
      </w:tr>
      <w:tr>
        <w:tblPrEx>
          <w:tblLayout w:type="fixed"/>
          <w:tblCellMar>
            <w:top w:w="15" w:type="dxa"/>
            <w:left w:w="15" w:type="dxa"/>
            <w:bottom w:w="15" w:type="dxa"/>
            <w:right w:w="15" w:type="dxa"/>
          </w:tblCellMar>
        </w:tblPrEx>
        <w:trPr>
          <w:trHeight w:val="405" w:hRule="atLeast"/>
          <w:jc w:val="center"/>
        </w:trPr>
        <w:tc>
          <w:tcPr>
            <w:tcW w:w="13253" w:type="dxa"/>
            <w:gridSpan w:val="13"/>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财政拨款预算“三公”经费支出表</w:t>
            </w:r>
          </w:p>
        </w:tc>
      </w:tr>
      <w:tr>
        <w:tblPrEx>
          <w:tblLayout w:type="fixed"/>
          <w:tblCellMar>
            <w:top w:w="15" w:type="dxa"/>
            <w:left w:w="15" w:type="dxa"/>
            <w:bottom w:w="15" w:type="dxa"/>
            <w:right w:w="15" w:type="dxa"/>
          </w:tblCellMar>
        </w:tblPrEx>
        <w:trPr>
          <w:trHeight w:val="315" w:hRule="atLeast"/>
          <w:jc w:val="center"/>
        </w:trPr>
        <w:tc>
          <w:tcPr>
            <w:tcW w:w="1352" w:type="dxa"/>
            <w:tcBorders>
              <w:bottom w:val="single" w:color="000000" w:sz="4" w:space="0"/>
            </w:tcBorders>
            <w:vAlign w:val="center"/>
          </w:tcPr>
          <w:p>
            <w:pPr>
              <w:rPr>
                <w:rFonts w:ascii="宋体" w:hAnsi="宋体" w:cs="宋体"/>
                <w:color w:val="000000"/>
                <w:sz w:val="18"/>
                <w:szCs w:val="18"/>
              </w:rPr>
            </w:pPr>
          </w:p>
        </w:tc>
        <w:tc>
          <w:tcPr>
            <w:tcW w:w="1065" w:type="dxa"/>
            <w:tcBorders>
              <w:bottom w:val="single" w:color="000000" w:sz="4" w:space="0"/>
            </w:tcBorders>
            <w:vAlign w:val="center"/>
          </w:tcPr>
          <w:p>
            <w:pPr>
              <w:rPr>
                <w:rFonts w:ascii="宋体" w:hAnsi="宋体" w:cs="宋体"/>
                <w:color w:val="000000"/>
                <w:sz w:val="18"/>
                <w:szCs w:val="18"/>
              </w:rPr>
            </w:pPr>
          </w:p>
        </w:tc>
        <w:tc>
          <w:tcPr>
            <w:tcW w:w="1053" w:type="dxa"/>
            <w:tcBorders>
              <w:bottom w:val="single" w:color="000000" w:sz="4" w:space="0"/>
            </w:tcBorders>
            <w:vAlign w:val="center"/>
          </w:tcPr>
          <w:p>
            <w:pPr>
              <w:rPr>
                <w:rFonts w:ascii="宋体" w:hAnsi="宋体" w:cs="宋体"/>
                <w:color w:val="000000"/>
                <w:sz w:val="18"/>
                <w:szCs w:val="18"/>
              </w:rPr>
            </w:pPr>
          </w:p>
        </w:tc>
        <w:tc>
          <w:tcPr>
            <w:tcW w:w="1052" w:type="dxa"/>
            <w:tcBorders>
              <w:bottom w:val="single" w:color="000000" w:sz="4" w:space="0"/>
            </w:tcBorders>
            <w:vAlign w:val="center"/>
          </w:tcPr>
          <w:p>
            <w:pPr>
              <w:rPr>
                <w:rFonts w:ascii="宋体" w:hAnsi="宋体" w:cs="宋体"/>
                <w:color w:val="000000"/>
                <w:sz w:val="18"/>
                <w:szCs w:val="18"/>
              </w:rPr>
            </w:pPr>
          </w:p>
        </w:tc>
        <w:tc>
          <w:tcPr>
            <w:tcW w:w="1053" w:type="dxa"/>
            <w:tcBorders>
              <w:bottom w:val="single" w:color="000000" w:sz="4" w:space="0"/>
            </w:tcBorders>
            <w:vAlign w:val="center"/>
          </w:tcPr>
          <w:p>
            <w:pPr>
              <w:rPr>
                <w:rFonts w:ascii="宋体" w:hAnsi="宋体" w:cs="宋体"/>
                <w:color w:val="000000"/>
                <w:sz w:val="18"/>
                <w:szCs w:val="18"/>
              </w:rPr>
            </w:pPr>
          </w:p>
        </w:tc>
        <w:tc>
          <w:tcPr>
            <w:tcW w:w="1347" w:type="dxa"/>
            <w:tcBorders>
              <w:bottom w:val="single" w:color="000000" w:sz="4" w:space="0"/>
            </w:tcBorders>
            <w:vAlign w:val="center"/>
          </w:tcPr>
          <w:p>
            <w:pPr>
              <w:rPr>
                <w:rFonts w:ascii="宋体" w:hAnsi="宋体" w:cs="宋体"/>
                <w:color w:val="000000"/>
                <w:sz w:val="18"/>
                <w:szCs w:val="18"/>
              </w:rPr>
            </w:pPr>
          </w:p>
        </w:tc>
        <w:tc>
          <w:tcPr>
            <w:tcW w:w="1052" w:type="dxa"/>
            <w:tcBorders>
              <w:bottom w:val="single" w:color="000000" w:sz="4" w:space="0"/>
            </w:tcBorders>
            <w:vAlign w:val="center"/>
          </w:tcPr>
          <w:p>
            <w:pPr>
              <w:rPr>
                <w:rFonts w:ascii="宋体" w:hAnsi="宋体" w:cs="宋体"/>
                <w:color w:val="000000"/>
                <w:sz w:val="18"/>
                <w:szCs w:val="18"/>
              </w:rPr>
            </w:pPr>
          </w:p>
        </w:tc>
        <w:tc>
          <w:tcPr>
            <w:tcW w:w="1065" w:type="dxa"/>
            <w:tcBorders>
              <w:bottom w:val="single" w:color="000000" w:sz="4" w:space="0"/>
            </w:tcBorders>
            <w:vAlign w:val="center"/>
          </w:tcPr>
          <w:p>
            <w:pPr>
              <w:rPr>
                <w:rFonts w:ascii="宋体" w:hAnsi="宋体" w:cs="宋体"/>
                <w:color w:val="000000"/>
                <w:sz w:val="18"/>
                <w:szCs w:val="18"/>
              </w:rPr>
            </w:pPr>
          </w:p>
        </w:tc>
        <w:tc>
          <w:tcPr>
            <w:tcW w:w="1052" w:type="dxa"/>
            <w:tcBorders>
              <w:bottom w:val="single" w:color="000000" w:sz="4" w:space="0"/>
            </w:tcBorders>
            <w:vAlign w:val="center"/>
          </w:tcPr>
          <w:p>
            <w:pPr>
              <w:rPr>
                <w:rFonts w:ascii="宋体" w:hAnsi="宋体" w:cs="宋体"/>
                <w:color w:val="000000"/>
                <w:sz w:val="18"/>
                <w:szCs w:val="18"/>
              </w:rPr>
            </w:pPr>
          </w:p>
        </w:tc>
        <w:tc>
          <w:tcPr>
            <w:tcW w:w="1052" w:type="dxa"/>
            <w:tcBorders>
              <w:bottom w:val="single" w:color="000000" w:sz="4" w:space="0"/>
            </w:tcBorders>
            <w:vAlign w:val="center"/>
          </w:tcPr>
          <w:p>
            <w:pPr>
              <w:rPr>
                <w:rFonts w:ascii="宋体" w:hAnsi="宋体" w:cs="宋体"/>
                <w:color w:val="000000"/>
                <w:sz w:val="18"/>
                <w:szCs w:val="18"/>
              </w:rPr>
            </w:pPr>
          </w:p>
        </w:tc>
        <w:tc>
          <w:tcPr>
            <w:tcW w:w="1052" w:type="dxa"/>
            <w:gridSpan w:val="2"/>
            <w:tcBorders>
              <w:bottom w:val="single" w:color="000000" w:sz="4" w:space="0"/>
            </w:tcBorders>
            <w:vAlign w:val="center"/>
          </w:tcPr>
          <w:p>
            <w:pPr>
              <w:rPr>
                <w:rFonts w:ascii="宋体" w:hAnsi="宋体" w:cs="宋体"/>
                <w:color w:val="000000"/>
                <w:sz w:val="18"/>
                <w:szCs w:val="18"/>
              </w:rPr>
            </w:pPr>
          </w:p>
        </w:tc>
        <w:tc>
          <w:tcPr>
            <w:tcW w:w="1058" w:type="dxa"/>
            <w:tcBorders>
              <w:bottom w:val="single" w:color="000000" w:sz="4" w:space="0"/>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单位：万元</w:t>
            </w:r>
          </w:p>
        </w:tc>
      </w:tr>
      <w:tr>
        <w:tblPrEx>
          <w:tblLayout w:type="fixed"/>
          <w:tblCellMar>
            <w:top w:w="15" w:type="dxa"/>
            <w:left w:w="15" w:type="dxa"/>
            <w:bottom w:w="15" w:type="dxa"/>
            <w:right w:w="15" w:type="dxa"/>
          </w:tblCellMar>
        </w:tblPrEx>
        <w:trPr>
          <w:trHeight w:val="660" w:hRule="atLeast"/>
          <w:jc w:val="center"/>
        </w:trPr>
        <w:tc>
          <w:tcPr>
            <w:tcW w:w="6922"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2022年预算数</w:t>
            </w:r>
          </w:p>
        </w:tc>
        <w:tc>
          <w:tcPr>
            <w:tcW w:w="633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2023年预算数</w:t>
            </w:r>
          </w:p>
        </w:tc>
      </w:tr>
      <w:tr>
        <w:tblPrEx>
          <w:tblLayout w:type="fixed"/>
          <w:tblCellMar>
            <w:top w:w="15" w:type="dxa"/>
            <w:left w:w="15" w:type="dxa"/>
            <w:bottom w:w="15" w:type="dxa"/>
            <w:right w:w="15" w:type="dxa"/>
          </w:tblCellMar>
        </w:tblPrEx>
        <w:trPr>
          <w:trHeight w:val="870"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1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3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0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15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0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Layout w:type="fixed"/>
          <w:tblCellMar>
            <w:top w:w="15" w:type="dxa"/>
            <w:left w:w="15" w:type="dxa"/>
            <w:bottom w:w="15" w:type="dxa"/>
            <w:right w:w="15" w:type="dxa"/>
          </w:tblCellMar>
        </w:tblPrEx>
        <w:trPr>
          <w:trHeight w:val="735" w:hRule="atLeast"/>
          <w:jc w:val="center"/>
        </w:trPr>
        <w:tc>
          <w:tcPr>
            <w:tcW w:w="13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3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0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1335" w:hRule="atLeast"/>
          <w:jc w:val="center"/>
        </w:trPr>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17.8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15.83</w:t>
            </w:r>
          </w:p>
        </w:tc>
        <w:tc>
          <w:tcPr>
            <w:tcW w:w="10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15.83</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1.97</w:t>
            </w:r>
          </w:p>
        </w:tc>
        <w:tc>
          <w:tcPr>
            <w:tcW w:w="105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17.8</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05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15.83</w:t>
            </w:r>
          </w:p>
        </w:tc>
        <w:tc>
          <w:tcPr>
            <w:tcW w:w="105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0"/>
                <w:szCs w:val="20"/>
              </w:rPr>
            </w:pPr>
          </w:p>
        </w:tc>
        <w:tc>
          <w:tcPr>
            <w:tcW w:w="105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15.83</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rPr>
              <w:t>1.97</w:t>
            </w:r>
          </w:p>
        </w:tc>
      </w:tr>
    </w:tbl>
    <w:p>
      <w:pPr>
        <w:pStyle w:val="11"/>
        <w:widowControl/>
        <w:spacing w:beforeAutospacing="0" w:afterAutospacing="0" w:line="27" w:lineRule="atLeast"/>
        <w:jc w:val="both"/>
        <w:sectPr>
          <w:pgSz w:w="16838" w:h="11906" w:orient="landscape"/>
          <w:pgMar w:top="1803" w:right="1440" w:bottom="1803" w:left="1440" w:header="851" w:footer="992" w:gutter="0"/>
          <w:cols w:space="720" w:num="1"/>
          <w:docGrid w:type="lines" w:linePitch="319" w:charSpace="0"/>
        </w:sectPr>
      </w:pPr>
    </w:p>
    <w:p>
      <w:pPr>
        <w:pStyle w:val="11"/>
        <w:widowControl/>
        <w:spacing w:beforeAutospacing="0" w:afterAutospacing="0" w:line="27" w:lineRule="atLeast"/>
        <w:ind w:firstLine="420"/>
        <w:rPr>
          <w:rFonts w:ascii="宋体" w:hAnsi="宋体" w:cs="宋体"/>
          <w:color w:val="070707"/>
        </w:rPr>
      </w:pPr>
    </w:p>
    <w:p>
      <w:pPr>
        <w:pStyle w:val="11"/>
        <w:widowControl/>
        <w:spacing w:beforeAutospacing="0" w:afterAutospacing="0" w:line="27" w:lineRule="atLeast"/>
        <w:jc w:val="center"/>
        <w:rPr>
          <w:rStyle w:val="8"/>
          <w:rFonts w:ascii="黑体" w:hAnsi="黑体" w:eastAsia="黑体"/>
          <w:b w:val="0"/>
          <w:bCs/>
          <w:color w:val="070707"/>
          <w:sz w:val="44"/>
          <w:szCs w:val="44"/>
        </w:rPr>
      </w:pPr>
      <w:r>
        <w:rPr>
          <w:rStyle w:val="8"/>
          <w:rFonts w:hint="eastAsia" w:ascii="黑体" w:hAnsi="黑体" w:eastAsia="黑体"/>
          <w:b w:val="0"/>
          <w:bCs/>
          <w:color w:val="070707"/>
          <w:sz w:val="44"/>
          <w:szCs w:val="44"/>
        </w:rPr>
        <w:t>第三部分 浙江省通信管理局2023年度</w:t>
      </w:r>
    </w:p>
    <w:p>
      <w:pPr>
        <w:pStyle w:val="11"/>
        <w:widowControl/>
        <w:spacing w:beforeAutospacing="0" w:afterAutospacing="0" w:line="27" w:lineRule="atLeast"/>
        <w:jc w:val="center"/>
        <w:rPr>
          <w:rFonts w:ascii="宋体" w:hAnsi="宋体" w:cs="宋体"/>
          <w:color w:val="070707"/>
          <w:sz w:val="32"/>
          <w:szCs w:val="32"/>
        </w:rPr>
      </w:pPr>
      <w:r>
        <w:rPr>
          <w:rStyle w:val="8"/>
          <w:rFonts w:hint="eastAsia" w:ascii="黑体" w:hAnsi="黑体" w:eastAsia="黑体"/>
          <w:b w:val="0"/>
          <w:bCs/>
          <w:color w:val="070707"/>
          <w:sz w:val="44"/>
          <w:szCs w:val="44"/>
        </w:rPr>
        <w:t>部门预算情况说明</w:t>
      </w:r>
    </w:p>
    <w:p>
      <w:pPr>
        <w:pStyle w:val="11"/>
        <w:widowControl/>
        <w:spacing w:beforeAutospacing="0" w:afterAutospacing="0" w:line="27" w:lineRule="atLeast"/>
        <w:ind w:firstLine="420"/>
        <w:rPr>
          <w:rFonts w:ascii="宋体" w:hAnsi="宋体" w:cs="宋体"/>
          <w:color w:val="070707"/>
        </w:rPr>
      </w:pP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一、收入支出预算总体情况说明</w:t>
      </w:r>
    </w:p>
    <w:p>
      <w:pPr>
        <w:pStyle w:val="11"/>
        <w:widowControl/>
        <w:spacing w:beforeAutospacing="0" w:afterAutospacing="0" w:line="27" w:lineRule="atLeast"/>
        <w:ind w:firstLine="640" w:firstLineChars="200"/>
        <w:rPr>
          <w:rFonts w:ascii="Times New Roman" w:hAnsi="Times New Roman" w:eastAsia="仿宋_GB2312" w:cs="Times New Roman"/>
          <w:color w:val="070707"/>
          <w:sz w:val="32"/>
          <w:szCs w:val="32"/>
        </w:rPr>
      </w:pPr>
      <w:r>
        <w:rPr>
          <w:rFonts w:ascii="Times New Roman" w:hAnsi="Times New Roman" w:eastAsia="仿宋_GB2312" w:cs="Times New Roman"/>
          <w:sz w:val="32"/>
          <w:szCs w:val="32"/>
        </w:rPr>
        <w:t>按照综合预算的原则，浙江省通信管理局所有收入和支出均纳入部门预算管理。收入包括：一般公共预算拨款收入、事业单位经营收入、其他收入、上年结转；支出包括：社会保障和就业支出、卫生健康支出、资源勘探信息等支出、住房保障支出。浙江省通信管理局2023年度收支总预算</w:t>
      </w:r>
      <w:r>
        <w:rPr>
          <w:rFonts w:hint="eastAsia" w:ascii="Times New Roman" w:hAnsi="Times New Roman" w:eastAsia="仿宋_GB2312" w:cs="Times New Roman"/>
          <w:sz w:val="32"/>
          <w:szCs w:val="32"/>
        </w:rPr>
        <w:t>3760.91</w:t>
      </w:r>
      <w:r>
        <w:rPr>
          <w:rFonts w:ascii="Times New Roman" w:hAnsi="Times New Roman" w:eastAsia="仿宋_GB2312" w:cs="Times New Roman"/>
          <w:sz w:val="32"/>
          <w:szCs w:val="32"/>
        </w:rPr>
        <w:t>万元。</w:t>
      </w: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二、收入预算情况说明</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浙江省通信管理局2023年度收入预算</w:t>
      </w:r>
      <w:r>
        <w:rPr>
          <w:rFonts w:hint="eastAsia" w:ascii="Times New Roman" w:hAnsi="Times New Roman" w:eastAsia="仿宋_GB2312" w:cs="Times New Roman"/>
          <w:color w:val="070707"/>
          <w:sz w:val="32"/>
          <w:szCs w:val="32"/>
        </w:rPr>
        <w:t>3760.91</w:t>
      </w:r>
      <w:r>
        <w:rPr>
          <w:rFonts w:ascii="Times New Roman" w:hAnsi="Times New Roman" w:eastAsia="仿宋_GB2312" w:cs="Times New Roman"/>
          <w:color w:val="070707"/>
          <w:sz w:val="32"/>
          <w:szCs w:val="32"/>
        </w:rPr>
        <w:t>万元，其中：上年结转</w:t>
      </w:r>
      <w:r>
        <w:rPr>
          <w:rFonts w:hint="eastAsia" w:ascii="Times New Roman" w:hAnsi="Times New Roman" w:eastAsia="仿宋_GB2312" w:cs="Times New Roman"/>
          <w:color w:val="070707"/>
          <w:sz w:val="32"/>
          <w:szCs w:val="32"/>
        </w:rPr>
        <w:t>662.74</w:t>
      </w:r>
      <w:r>
        <w:rPr>
          <w:rFonts w:ascii="Times New Roman" w:hAnsi="Times New Roman" w:eastAsia="仿宋_GB2312" w:cs="Times New Roman"/>
          <w:color w:val="070707"/>
          <w:sz w:val="32"/>
          <w:szCs w:val="32"/>
        </w:rPr>
        <w:t>万元，占</w:t>
      </w:r>
      <w:r>
        <w:rPr>
          <w:rFonts w:hint="eastAsia" w:ascii="Times New Roman" w:hAnsi="Times New Roman" w:eastAsia="仿宋_GB2312" w:cs="Times New Roman"/>
          <w:color w:val="070707"/>
          <w:sz w:val="32"/>
          <w:szCs w:val="32"/>
        </w:rPr>
        <w:t>17.62</w:t>
      </w:r>
      <w:r>
        <w:rPr>
          <w:rFonts w:ascii="Times New Roman" w:hAnsi="Times New Roman" w:eastAsia="仿宋_GB2312" w:cs="Times New Roman"/>
          <w:color w:val="070707"/>
          <w:sz w:val="32"/>
          <w:szCs w:val="32"/>
        </w:rPr>
        <w:t>%；一般公共预算拨款收入</w:t>
      </w:r>
      <w:r>
        <w:rPr>
          <w:rFonts w:hint="eastAsia" w:ascii="Times New Roman" w:hAnsi="Times New Roman" w:eastAsia="仿宋_GB2312" w:cs="Times New Roman"/>
          <w:color w:val="070707"/>
          <w:sz w:val="32"/>
          <w:szCs w:val="32"/>
        </w:rPr>
        <w:t>1598.02</w:t>
      </w:r>
      <w:r>
        <w:rPr>
          <w:rFonts w:ascii="Times New Roman" w:hAnsi="Times New Roman" w:eastAsia="仿宋_GB2312" w:cs="Times New Roman"/>
          <w:color w:val="070707"/>
          <w:sz w:val="32"/>
          <w:szCs w:val="32"/>
        </w:rPr>
        <w:t>万元，占</w:t>
      </w:r>
      <w:r>
        <w:rPr>
          <w:rFonts w:hint="eastAsia" w:ascii="Times New Roman" w:hAnsi="Times New Roman" w:eastAsia="仿宋_GB2312" w:cs="Times New Roman"/>
          <w:color w:val="070707"/>
          <w:sz w:val="32"/>
          <w:szCs w:val="32"/>
        </w:rPr>
        <w:t>42.49</w:t>
      </w:r>
      <w:r>
        <w:rPr>
          <w:rFonts w:ascii="Times New Roman" w:hAnsi="Times New Roman" w:eastAsia="仿宋_GB2312" w:cs="Times New Roman"/>
          <w:color w:val="070707"/>
          <w:sz w:val="32"/>
          <w:szCs w:val="32"/>
        </w:rPr>
        <w:t>%；事业单位经营收入</w:t>
      </w:r>
      <w:r>
        <w:rPr>
          <w:rFonts w:hint="eastAsia" w:ascii="Times New Roman" w:hAnsi="Times New Roman" w:eastAsia="仿宋_GB2312" w:cs="Times New Roman"/>
          <w:color w:val="070707"/>
          <w:sz w:val="32"/>
          <w:szCs w:val="32"/>
        </w:rPr>
        <w:t>1000</w:t>
      </w:r>
      <w:r>
        <w:rPr>
          <w:rFonts w:ascii="Times New Roman" w:hAnsi="Times New Roman" w:eastAsia="仿宋_GB2312" w:cs="Times New Roman"/>
          <w:color w:val="070707"/>
          <w:sz w:val="32"/>
          <w:szCs w:val="32"/>
        </w:rPr>
        <w:t>万元，占</w:t>
      </w:r>
      <w:r>
        <w:rPr>
          <w:rFonts w:hint="eastAsia" w:ascii="Times New Roman" w:hAnsi="Times New Roman" w:eastAsia="仿宋_GB2312" w:cs="Times New Roman"/>
          <w:color w:val="070707"/>
          <w:sz w:val="32"/>
          <w:szCs w:val="32"/>
        </w:rPr>
        <w:t>26.59</w:t>
      </w:r>
      <w:r>
        <w:rPr>
          <w:rFonts w:ascii="Times New Roman" w:hAnsi="Times New Roman" w:eastAsia="仿宋_GB2312" w:cs="Times New Roman"/>
          <w:color w:val="070707"/>
          <w:sz w:val="32"/>
          <w:szCs w:val="32"/>
        </w:rPr>
        <w:t>%；其他收入</w:t>
      </w:r>
      <w:r>
        <w:rPr>
          <w:rFonts w:hint="eastAsia" w:ascii="Times New Roman" w:hAnsi="Times New Roman" w:eastAsia="仿宋_GB2312" w:cs="Times New Roman"/>
          <w:color w:val="070707"/>
          <w:sz w:val="32"/>
          <w:szCs w:val="32"/>
        </w:rPr>
        <w:t>500.15</w:t>
      </w:r>
      <w:r>
        <w:rPr>
          <w:rFonts w:ascii="Times New Roman" w:hAnsi="Times New Roman" w:eastAsia="仿宋_GB2312" w:cs="Times New Roman"/>
          <w:color w:val="070707"/>
          <w:sz w:val="32"/>
          <w:szCs w:val="32"/>
        </w:rPr>
        <w:t>万元，占</w:t>
      </w:r>
      <w:r>
        <w:rPr>
          <w:rFonts w:hint="eastAsia" w:ascii="Times New Roman" w:hAnsi="Times New Roman" w:eastAsia="仿宋_GB2312" w:cs="Times New Roman"/>
          <w:color w:val="070707"/>
          <w:sz w:val="32"/>
          <w:szCs w:val="32"/>
        </w:rPr>
        <w:t>13.30</w:t>
      </w:r>
      <w:r>
        <w:rPr>
          <w:rFonts w:ascii="Times New Roman" w:hAnsi="Times New Roman" w:eastAsia="仿宋_GB2312" w:cs="Times New Roman"/>
          <w:color w:val="070707"/>
          <w:sz w:val="32"/>
          <w:szCs w:val="32"/>
        </w:rPr>
        <w:t>%。</w:t>
      </w: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三、支出预算情况说明</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浙江省通信管理局2023年度支出预算</w:t>
      </w:r>
      <w:r>
        <w:rPr>
          <w:rFonts w:hint="eastAsia" w:ascii="Times New Roman" w:hAnsi="Times New Roman" w:eastAsia="仿宋_GB2312" w:cs="Times New Roman"/>
          <w:color w:val="070707"/>
          <w:sz w:val="32"/>
          <w:szCs w:val="32"/>
        </w:rPr>
        <w:t>2934.27</w:t>
      </w:r>
      <w:r>
        <w:rPr>
          <w:rFonts w:ascii="Times New Roman" w:hAnsi="Times New Roman" w:eastAsia="仿宋_GB2312" w:cs="Times New Roman"/>
          <w:color w:val="070707"/>
          <w:sz w:val="32"/>
          <w:szCs w:val="32"/>
        </w:rPr>
        <w:t>万元，其中：基本支出</w:t>
      </w:r>
      <w:r>
        <w:rPr>
          <w:rFonts w:hint="eastAsia" w:ascii="Times New Roman" w:hAnsi="Times New Roman" w:eastAsia="仿宋_GB2312" w:cs="Times New Roman"/>
          <w:color w:val="070707"/>
          <w:sz w:val="32"/>
          <w:szCs w:val="32"/>
        </w:rPr>
        <w:t>1054.29</w:t>
      </w:r>
      <w:r>
        <w:rPr>
          <w:rFonts w:ascii="Times New Roman" w:hAnsi="Times New Roman" w:eastAsia="仿宋_GB2312" w:cs="Times New Roman"/>
          <w:color w:val="070707"/>
          <w:sz w:val="32"/>
          <w:szCs w:val="32"/>
        </w:rPr>
        <w:t>万元，占</w:t>
      </w:r>
      <w:r>
        <w:rPr>
          <w:rFonts w:hint="eastAsia" w:ascii="Times New Roman" w:hAnsi="Times New Roman" w:eastAsia="仿宋_GB2312" w:cs="Times New Roman"/>
          <w:color w:val="070707"/>
          <w:sz w:val="32"/>
          <w:szCs w:val="32"/>
        </w:rPr>
        <w:t>35.93</w:t>
      </w:r>
      <w:r>
        <w:rPr>
          <w:rFonts w:ascii="Times New Roman" w:hAnsi="Times New Roman" w:eastAsia="仿宋_GB2312" w:cs="Times New Roman"/>
          <w:color w:val="070707"/>
          <w:sz w:val="32"/>
          <w:szCs w:val="32"/>
        </w:rPr>
        <w:t>%；项目支出</w:t>
      </w:r>
      <w:r>
        <w:rPr>
          <w:rFonts w:hint="eastAsia" w:ascii="Times New Roman" w:hAnsi="Times New Roman" w:eastAsia="仿宋_GB2312" w:cs="Times New Roman"/>
          <w:color w:val="070707"/>
          <w:sz w:val="32"/>
          <w:szCs w:val="32"/>
        </w:rPr>
        <w:t>1079.98</w:t>
      </w:r>
      <w:r>
        <w:rPr>
          <w:rFonts w:ascii="Times New Roman" w:hAnsi="Times New Roman" w:eastAsia="仿宋_GB2312" w:cs="Times New Roman"/>
          <w:color w:val="070707"/>
          <w:sz w:val="32"/>
          <w:szCs w:val="32"/>
        </w:rPr>
        <w:t>万元，占</w:t>
      </w:r>
      <w:r>
        <w:rPr>
          <w:rFonts w:hint="eastAsia" w:ascii="Times New Roman" w:hAnsi="Times New Roman" w:eastAsia="仿宋_GB2312" w:cs="Times New Roman"/>
          <w:color w:val="070707"/>
          <w:sz w:val="32"/>
          <w:szCs w:val="32"/>
        </w:rPr>
        <w:t>36.81</w:t>
      </w:r>
      <w:r>
        <w:rPr>
          <w:rFonts w:ascii="Times New Roman" w:hAnsi="Times New Roman" w:eastAsia="仿宋_GB2312" w:cs="Times New Roman"/>
          <w:color w:val="070707"/>
          <w:sz w:val="32"/>
          <w:szCs w:val="32"/>
        </w:rPr>
        <w:t>%；事业单位经营支出</w:t>
      </w:r>
      <w:r>
        <w:rPr>
          <w:rFonts w:hint="eastAsia" w:ascii="Times New Roman" w:hAnsi="Times New Roman" w:eastAsia="仿宋_GB2312" w:cs="Times New Roman"/>
          <w:color w:val="070707"/>
          <w:sz w:val="32"/>
          <w:szCs w:val="32"/>
        </w:rPr>
        <w:t>800</w:t>
      </w:r>
      <w:r>
        <w:rPr>
          <w:rFonts w:ascii="Times New Roman" w:hAnsi="Times New Roman" w:eastAsia="仿宋_GB2312" w:cs="Times New Roman"/>
          <w:color w:val="070707"/>
          <w:sz w:val="32"/>
          <w:szCs w:val="32"/>
        </w:rPr>
        <w:t>万元，占</w:t>
      </w:r>
      <w:r>
        <w:rPr>
          <w:rFonts w:hint="eastAsia" w:ascii="Times New Roman" w:hAnsi="Times New Roman" w:eastAsia="仿宋_GB2312" w:cs="Times New Roman"/>
          <w:color w:val="070707"/>
          <w:sz w:val="32"/>
          <w:szCs w:val="32"/>
        </w:rPr>
        <w:t>27.26</w:t>
      </w:r>
      <w:r>
        <w:rPr>
          <w:rFonts w:ascii="Times New Roman" w:hAnsi="Times New Roman" w:eastAsia="仿宋_GB2312" w:cs="Times New Roman"/>
          <w:color w:val="070707"/>
          <w:sz w:val="32"/>
          <w:szCs w:val="32"/>
        </w:rPr>
        <w:t>%。</w:t>
      </w: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四、财政拨款收支预算总体情况说明</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浙江省通信管理局2023年度财政拨款收支总预算</w:t>
      </w:r>
      <w:r>
        <w:rPr>
          <w:rFonts w:hint="eastAsia" w:ascii="Times New Roman" w:hAnsi="Times New Roman" w:eastAsia="仿宋_GB2312" w:cs="Times New Roman"/>
          <w:color w:val="070707"/>
          <w:sz w:val="32"/>
          <w:szCs w:val="32"/>
        </w:rPr>
        <w:t>1632.67</w:t>
      </w:r>
      <w:r>
        <w:rPr>
          <w:rFonts w:ascii="Times New Roman" w:hAnsi="Times New Roman" w:eastAsia="仿宋_GB2312" w:cs="Times New Roman"/>
          <w:color w:val="070707"/>
          <w:sz w:val="32"/>
          <w:szCs w:val="32"/>
        </w:rPr>
        <w:t>万元。收入全部为一般公共预算拨款（无政府性基金及国有资本经营预算拨款），包括：一般公共预算拨款</w:t>
      </w:r>
      <w:r>
        <w:rPr>
          <w:rFonts w:hint="eastAsia" w:ascii="Times New Roman" w:hAnsi="Times New Roman" w:eastAsia="仿宋_GB2312" w:cs="Times New Roman"/>
          <w:color w:val="070707"/>
          <w:sz w:val="32"/>
          <w:szCs w:val="32"/>
        </w:rPr>
        <w:t>1598.02</w:t>
      </w:r>
      <w:r>
        <w:rPr>
          <w:rFonts w:ascii="Times New Roman" w:hAnsi="Times New Roman" w:eastAsia="仿宋_GB2312" w:cs="Times New Roman"/>
          <w:color w:val="070707"/>
          <w:sz w:val="32"/>
          <w:szCs w:val="32"/>
        </w:rPr>
        <w:t>万元、上年结转</w:t>
      </w:r>
      <w:r>
        <w:rPr>
          <w:rFonts w:hint="eastAsia" w:ascii="Times New Roman" w:hAnsi="Times New Roman" w:eastAsia="仿宋_GB2312" w:cs="Times New Roman"/>
          <w:color w:val="070707"/>
          <w:sz w:val="32"/>
          <w:szCs w:val="32"/>
        </w:rPr>
        <w:t>34.65</w:t>
      </w:r>
      <w:r>
        <w:rPr>
          <w:rFonts w:ascii="Times New Roman" w:hAnsi="Times New Roman" w:eastAsia="仿宋_GB2312" w:cs="Times New Roman"/>
          <w:color w:val="070707"/>
          <w:sz w:val="32"/>
          <w:szCs w:val="32"/>
        </w:rPr>
        <w:t>万元；支出包括：社会保障和就业支出</w:t>
      </w:r>
      <w:r>
        <w:rPr>
          <w:rFonts w:hint="eastAsia" w:ascii="Times New Roman" w:hAnsi="Times New Roman" w:eastAsia="仿宋_GB2312" w:cs="Times New Roman"/>
          <w:color w:val="070707"/>
          <w:sz w:val="32"/>
          <w:szCs w:val="32"/>
        </w:rPr>
        <w:t>68.80</w:t>
      </w:r>
      <w:r>
        <w:rPr>
          <w:rFonts w:ascii="Times New Roman" w:hAnsi="Times New Roman" w:eastAsia="仿宋_GB2312" w:cs="Times New Roman"/>
          <w:color w:val="070707"/>
          <w:sz w:val="32"/>
          <w:szCs w:val="32"/>
        </w:rPr>
        <w:t>万元、卫生健康支出</w:t>
      </w:r>
      <w:r>
        <w:rPr>
          <w:rFonts w:hint="eastAsia" w:ascii="Times New Roman" w:hAnsi="Times New Roman" w:eastAsia="仿宋_GB2312" w:cs="Times New Roman"/>
          <w:color w:val="070707"/>
          <w:sz w:val="32"/>
          <w:szCs w:val="32"/>
        </w:rPr>
        <w:t>28.81</w:t>
      </w:r>
      <w:r>
        <w:rPr>
          <w:rFonts w:ascii="Times New Roman" w:hAnsi="Times New Roman" w:eastAsia="仿宋_GB2312" w:cs="Times New Roman"/>
          <w:color w:val="070707"/>
          <w:sz w:val="32"/>
          <w:szCs w:val="32"/>
        </w:rPr>
        <w:t>万元、资源勘探工业信息等支出</w:t>
      </w:r>
      <w:r>
        <w:rPr>
          <w:rFonts w:hint="eastAsia" w:ascii="Times New Roman" w:hAnsi="Times New Roman" w:eastAsia="仿宋_GB2312" w:cs="Times New Roman"/>
          <w:color w:val="070707"/>
          <w:sz w:val="32"/>
          <w:szCs w:val="32"/>
        </w:rPr>
        <w:t>1427.31</w:t>
      </w:r>
      <w:r>
        <w:rPr>
          <w:rFonts w:ascii="Times New Roman" w:hAnsi="Times New Roman" w:eastAsia="仿宋_GB2312" w:cs="Times New Roman"/>
          <w:color w:val="070707"/>
          <w:sz w:val="32"/>
          <w:szCs w:val="32"/>
        </w:rPr>
        <w:t>万元、住房保障支出</w:t>
      </w:r>
      <w:r>
        <w:rPr>
          <w:rFonts w:hint="eastAsia" w:ascii="Times New Roman" w:hAnsi="Times New Roman" w:eastAsia="仿宋_GB2312" w:cs="Times New Roman"/>
          <w:color w:val="070707"/>
          <w:sz w:val="32"/>
          <w:szCs w:val="32"/>
        </w:rPr>
        <w:t>107.75</w:t>
      </w:r>
      <w:r>
        <w:rPr>
          <w:rFonts w:ascii="Times New Roman" w:hAnsi="Times New Roman" w:eastAsia="仿宋_GB2312" w:cs="Times New Roman"/>
          <w:color w:val="070707"/>
          <w:sz w:val="32"/>
          <w:szCs w:val="32"/>
        </w:rPr>
        <w:t>万元。</w:t>
      </w: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五、一般公共预算支出情况说明</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浙江省通信管理局2023年度一般公共预算支出</w:t>
      </w:r>
      <w:r>
        <w:rPr>
          <w:rFonts w:hint="eastAsia" w:ascii="Times New Roman" w:hAnsi="Times New Roman" w:eastAsia="仿宋_GB2312" w:cs="Times New Roman"/>
          <w:color w:val="070707"/>
          <w:sz w:val="32"/>
          <w:szCs w:val="32"/>
        </w:rPr>
        <w:t>1598.02</w:t>
      </w:r>
      <w:r>
        <w:rPr>
          <w:rFonts w:ascii="Times New Roman" w:hAnsi="Times New Roman" w:eastAsia="仿宋_GB2312" w:cs="Times New Roman"/>
          <w:color w:val="070707"/>
          <w:sz w:val="32"/>
          <w:szCs w:val="32"/>
        </w:rPr>
        <w:t>万元，比2022年执行数减少</w:t>
      </w:r>
      <w:r>
        <w:rPr>
          <w:rFonts w:hint="eastAsia" w:ascii="Times New Roman" w:hAnsi="Times New Roman" w:eastAsia="仿宋_GB2312" w:cs="Times New Roman"/>
          <w:color w:val="070707"/>
          <w:sz w:val="32"/>
          <w:szCs w:val="32"/>
        </w:rPr>
        <w:t>304.94</w:t>
      </w:r>
      <w:r>
        <w:rPr>
          <w:rFonts w:ascii="Times New Roman" w:hAnsi="Times New Roman" w:eastAsia="仿宋_GB2312" w:cs="Times New Roman"/>
          <w:color w:val="070707"/>
          <w:sz w:val="32"/>
          <w:szCs w:val="32"/>
        </w:rPr>
        <w:t>万元，降低</w:t>
      </w:r>
      <w:r>
        <w:rPr>
          <w:rFonts w:hint="eastAsia" w:ascii="Times New Roman" w:hAnsi="Times New Roman" w:eastAsia="仿宋_GB2312" w:cs="Times New Roman"/>
          <w:color w:val="070707"/>
          <w:sz w:val="32"/>
          <w:szCs w:val="32"/>
        </w:rPr>
        <w:t>16.02</w:t>
      </w:r>
      <w:r>
        <w:rPr>
          <w:rFonts w:ascii="Times New Roman" w:hAnsi="Times New Roman" w:eastAsia="仿宋_GB2312" w:cs="Times New Roman"/>
          <w:color w:val="070707"/>
          <w:sz w:val="32"/>
          <w:szCs w:val="32"/>
        </w:rPr>
        <w:t>%。按照党中央、国务院关于过紧日子的有关要求，厉行节约办一切事业，严控一般性支出。同时坚持有保有压，优化支出结构，合理保障必要支出需求，体现在有关支出科目中。具体安排情况如下：</w:t>
      </w:r>
    </w:p>
    <w:p>
      <w:pPr>
        <w:pStyle w:val="11"/>
        <w:widowControl/>
        <w:spacing w:beforeAutospacing="0" w:afterAutospacing="0"/>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（一）社会保障和就业支出2023年预算</w:t>
      </w:r>
      <w:r>
        <w:rPr>
          <w:rFonts w:hint="eastAsia" w:ascii="Times New Roman" w:hAnsi="Times New Roman" w:eastAsia="仿宋_GB2312" w:cs="Times New Roman"/>
          <w:color w:val="070707"/>
          <w:sz w:val="32"/>
          <w:szCs w:val="32"/>
        </w:rPr>
        <w:t>68.8</w:t>
      </w:r>
      <w:r>
        <w:rPr>
          <w:rFonts w:ascii="Times New Roman" w:hAnsi="Times New Roman" w:eastAsia="仿宋_GB2312" w:cs="Times New Roman"/>
          <w:color w:val="070707"/>
          <w:sz w:val="32"/>
          <w:szCs w:val="32"/>
        </w:rPr>
        <w:t>万元，比2022年执行数减少</w:t>
      </w:r>
      <w:r>
        <w:rPr>
          <w:rFonts w:hint="eastAsia" w:ascii="Times New Roman" w:hAnsi="Times New Roman" w:eastAsia="仿宋_GB2312" w:cs="Times New Roman"/>
          <w:color w:val="070707"/>
          <w:sz w:val="32"/>
          <w:szCs w:val="32"/>
        </w:rPr>
        <w:t>1.7</w:t>
      </w:r>
      <w:r>
        <w:rPr>
          <w:rFonts w:ascii="Times New Roman" w:hAnsi="Times New Roman" w:eastAsia="仿宋_GB2312" w:cs="Times New Roman"/>
          <w:color w:val="070707"/>
          <w:sz w:val="32"/>
          <w:szCs w:val="32"/>
        </w:rPr>
        <w:t>万元，下降</w:t>
      </w:r>
      <w:r>
        <w:rPr>
          <w:rFonts w:hint="eastAsia" w:ascii="Times New Roman" w:hAnsi="Times New Roman" w:eastAsia="仿宋_GB2312" w:cs="Times New Roman"/>
          <w:color w:val="070707"/>
          <w:sz w:val="32"/>
          <w:szCs w:val="32"/>
        </w:rPr>
        <w:t>2.41</w:t>
      </w:r>
      <w:r>
        <w:rPr>
          <w:rFonts w:ascii="Times New Roman" w:hAnsi="Times New Roman" w:eastAsia="仿宋_GB2312" w:cs="Times New Roman"/>
          <w:color w:val="070707"/>
          <w:sz w:val="32"/>
          <w:szCs w:val="32"/>
        </w:rPr>
        <w:t>%。</w:t>
      </w:r>
    </w:p>
    <w:p>
      <w:pPr>
        <w:pStyle w:val="6"/>
        <w:ind w:firstLine="480"/>
        <w:jc w:val="both"/>
        <w:rPr>
          <w:rFonts w:ascii="Times New Roman" w:hAnsi="Times New Roman" w:eastAsia="仿宋_GB2312"/>
          <w:color w:val="070707"/>
          <w:sz w:val="32"/>
          <w:szCs w:val="32"/>
        </w:rPr>
      </w:pPr>
      <w:r>
        <w:rPr>
          <w:rFonts w:ascii="Times New Roman" w:hAnsi="Times New Roman" w:eastAsia="仿宋_GB2312"/>
          <w:color w:val="070707"/>
          <w:sz w:val="32"/>
          <w:szCs w:val="32"/>
        </w:rPr>
        <w:t>1.行政单位离退休经费2023年预算数</w:t>
      </w:r>
      <w:r>
        <w:rPr>
          <w:rFonts w:hint="eastAsia" w:ascii="Times New Roman" w:hAnsi="Times New Roman" w:eastAsia="仿宋_GB2312"/>
          <w:color w:val="070707"/>
          <w:sz w:val="32"/>
          <w:szCs w:val="32"/>
        </w:rPr>
        <w:t>8.89</w:t>
      </w:r>
      <w:r>
        <w:rPr>
          <w:rFonts w:ascii="Times New Roman" w:hAnsi="Times New Roman" w:eastAsia="仿宋_GB2312"/>
          <w:color w:val="070707"/>
          <w:sz w:val="32"/>
          <w:szCs w:val="32"/>
        </w:rPr>
        <w:t>万元，比2022年执行数减少</w:t>
      </w:r>
      <w:r>
        <w:rPr>
          <w:rFonts w:hint="eastAsia" w:ascii="Times New Roman" w:hAnsi="Times New Roman" w:eastAsia="仿宋_GB2312"/>
          <w:color w:val="070707"/>
          <w:sz w:val="32"/>
          <w:szCs w:val="32"/>
        </w:rPr>
        <w:t>0.95</w:t>
      </w:r>
      <w:r>
        <w:rPr>
          <w:rFonts w:ascii="Times New Roman" w:hAnsi="Times New Roman" w:eastAsia="仿宋_GB2312"/>
          <w:color w:val="070707"/>
          <w:sz w:val="32"/>
          <w:szCs w:val="32"/>
        </w:rPr>
        <w:t>万元，下降</w:t>
      </w:r>
      <w:r>
        <w:rPr>
          <w:rFonts w:hint="eastAsia" w:ascii="Times New Roman" w:hAnsi="Times New Roman" w:eastAsia="仿宋_GB2312"/>
          <w:color w:val="070707"/>
          <w:sz w:val="32"/>
          <w:szCs w:val="32"/>
        </w:rPr>
        <w:t>9.65</w:t>
      </w:r>
      <w:r>
        <w:rPr>
          <w:rFonts w:ascii="Times New Roman" w:hAnsi="Times New Roman" w:eastAsia="仿宋_GB2312"/>
          <w:color w:val="070707"/>
          <w:sz w:val="32"/>
          <w:szCs w:val="32"/>
        </w:rPr>
        <w:t>%。</w:t>
      </w:r>
    </w:p>
    <w:p>
      <w:pPr>
        <w:pStyle w:val="6"/>
        <w:ind w:firstLine="480"/>
        <w:jc w:val="both"/>
        <w:rPr>
          <w:rFonts w:ascii="Times New Roman" w:hAnsi="Times New Roman" w:eastAsia="仿宋_GB2312"/>
          <w:color w:val="070707"/>
          <w:sz w:val="32"/>
          <w:szCs w:val="32"/>
        </w:rPr>
      </w:pPr>
      <w:r>
        <w:rPr>
          <w:rFonts w:ascii="Times New Roman" w:hAnsi="Times New Roman" w:eastAsia="仿宋_GB2312"/>
          <w:color w:val="070707"/>
          <w:sz w:val="32"/>
          <w:szCs w:val="32"/>
        </w:rPr>
        <w:t>2.机关事业单位基本养老保险缴费支出2023年预算数</w:t>
      </w:r>
      <w:r>
        <w:rPr>
          <w:rFonts w:hint="eastAsia" w:ascii="Times New Roman" w:hAnsi="Times New Roman" w:eastAsia="仿宋_GB2312"/>
          <w:color w:val="070707"/>
          <w:sz w:val="32"/>
          <w:szCs w:val="32"/>
        </w:rPr>
        <w:t>39.94</w:t>
      </w:r>
      <w:r>
        <w:rPr>
          <w:rFonts w:ascii="Times New Roman" w:hAnsi="Times New Roman" w:eastAsia="仿宋_GB2312"/>
          <w:color w:val="070707"/>
          <w:sz w:val="32"/>
          <w:szCs w:val="32"/>
        </w:rPr>
        <w:t>万元，比2022年执行数减少</w:t>
      </w:r>
      <w:r>
        <w:rPr>
          <w:rFonts w:hint="eastAsia" w:ascii="Times New Roman" w:hAnsi="Times New Roman" w:eastAsia="仿宋_GB2312"/>
          <w:color w:val="070707"/>
          <w:sz w:val="32"/>
          <w:szCs w:val="32"/>
        </w:rPr>
        <w:t>0.5</w:t>
      </w:r>
      <w:r>
        <w:rPr>
          <w:rFonts w:ascii="Times New Roman" w:hAnsi="Times New Roman" w:eastAsia="仿宋_GB2312"/>
          <w:color w:val="070707"/>
          <w:sz w:val="32"/>
          <w:szCs w:val="32"/>
        </w:rPr>
        <w:t>万元，减少</w:t>
      </w:r>
      <w:r>
        <w:rPr>
          <w:rFonts w:hint="eastAsia" w:ascii="Times New Roman" w:hAnsi="Times New Roman" w:eastAsia="仿宋_GB2312"/>
          <w:color w:val="070707"/>
          <w:sz w:val="32"/>
          <w:szCs w:val="32"/>
        </w:rPr>
        <w:t>1.24</w:t>
      </w:r>
      <w:r>
        <w:rPr>
          <w:rFonts w:ascii="Times New Roman" w:hAnsi="Times New Roman" w:eastAsia="仿宋_GB2312"/>
          <w:color w:val="070707"/>
          <w:sz w:val="32"/>
          <w:szCs w:val="32"/>
        </w:rPr>
        <w:t>%。</w:t>
      </w:r>
    </w:p>
    <w:p>
      <w:pPr>
        <w:pStyle w:val="6"/>
        <w:ind w:firstLine="480"/>
        <w:jc w:val="both"/>
        <w:rPr>
          <w:rFonts w:ascii="Times New Roman" w:hAnsi="Times New Roman" w:eastAsia="仿宋_GB2312"/>
          <w:color w:val="070707"/>
          <w:sz w:val="32"/>
          <w:szCs w:val="32"/>
        </w:rPr>
      </w:pPr>
      <w:r>
        <w:rPr>
          <w:rFonts w:ascii="Times New Roman" w:hAnsi="Times New Roman" w:eastAsia="仿宋_GB2312"/>
          <w:color w:val="070707"/>
          <w:sz w:val="32"/>
          <w:szCs w:val="32"/>
        </w:rPr>
        <w:t>3.机关事业单位职业年金缴费支出2023年预算数</w:t>
      </w:r>
      <w:r>
        <w:rPr>
          <w:rFonts w:hint="eastAsia" w:ascii="Times New Roman" w:hAnsi="Times New Roman" w:eastAsia="仿宋_GB2312"/>
          <w:color w:val="070707"/>
          <w:sz w:val="32"/>
          <w:szCs w:val="32"/>
        </w:rPr>
        <w:t>19.97</w:t>
      </w:r>
      <w:r>
        <w:rPr>
          <w:rFonts w:ascii="Times New Roman" w:hAnsi="Times New Roman" w:eastAsia="仿宋_GB2312"/>
          <w:color w:val="070707"/>
          <w:sz w:val="32"/>
          <w:szCs w:val="32"/>
        </w:rPr>
        <w:t>万元，比2022年执行数减少</w:t>
      </w:r>
      <w:r>
        <w:rPr>
          <w:rFonts w:hint="eastAsia" w:ascii="Times New Roman" w:hAnsi="Times New Roman" w:eastAsia="仿宋_GB2312"/>
          <w:color w:val="070707"/>
          <w:sz w:val="32"/>
          <w:szCs w:val="32"/>
        </w:rPr>
        <w:t>0.25</w:t>
      </w:r>
      <w:r>
        <w:rPr>
          <w:rFonts w:ascii="Times New Roman" w:hAnsi="Times New Roman" w:eastAsia="仿宋_GB2312"/>
          <w:color w:val="070707"/>
          <w:sz w:val="32"/>
          <w:szCs w:val="32"/>
        </w:rPr>
        <w:t>万元，减少</w:t>
      </w:r>
      <w:r>
        <w:rPr>
          <w:rFonts w:hint="eastAsia" w:ascii="Times New Roman" w:hAnsi="Times New Roman" w:eastAsia="仿宋_GB2312"/>
          <w:color w:val="070707"/>
          <w:sz w:val="32"/>
          <w:szCs w:val="32"/>
        </w:rPr>
        <w:t>1.24</w:t>
      </w:r>
      <w:r>
        <w:rPr>
          <w:rFonts w:ascii="Times New Roman" w:hAnsi="Times New Roman" w:eastAsia="仿宋_GB2312"/>
          <w:color w:val="070707"/>
          <w:sz w:val="32"/>
          <w:szCs w:val="32"/>
        </w:rPr>
        <w:t>%。</w:t>
      </w:r>
    </w:p>
    <w:p>
      <w:pPr>
        <w:pStyle w:val="6"/>
        <w:ind w:firstLine="480"/>
        <w:jc w:val="both"/>
        <w:rPr>
          <w:rFonts w:ascii="Times New Roman" w:hAnsi="Times New Roman" w:eastAsia="仿宋_GB2312"/>
          <w:color w:val="070707"/>
          <w:sz w:val="32"/>
          <w:szCs w:val="32"/>
        </w:rPr>
      </w:pPr>
      <w:r>
        <w:rPr>
          <w:rFonts w:ascii="Times New Roman" w:hAnsi="Times New Roman" w:eastAsia="仿宋_GB2312"/>
          <w:color w:val="070707"/>
          <w:sz w:val="32"/>
          <w:szCs w:val="32"/>
        </w:rPr>
        <w:t>（二）卫生健康支出2023年预算数</w:t>
      </w:r>
      <w:r>
        <w:rPr>
          <w:rFonts w:hint="eastAsia" w:ascii="Times New Roman" w:hAnsi="Times New Roman" w:eastAsia="仿宋_GB2312"/>
          <w:color w:val="070707"/>
          <w:sz w:val="32"/>
          <w:szCs w:val="32"/>
        </w:rPr>
        <w:t>28.81</w:t>
      </w:r>
      <w:r>
        <w:rPr>
          <w:rFonts w:ascii="Times New Roman" w:hAnsi="Times New Roman" w:eastAsia="仿宋_GB2312"/>
          <w:color w:val="070707"/>
          <w:sz w:val="32"/>
          <w:szCs w:val="32"/>
        </w:rPr>
        <w:t>万元，比2022年执行数增加</w:t>
      </w:r>
      <w:r>
        <w:rPr>
          <w:rFonts w:hint="eastAsia" w:ascii="Times New Roman" w:hAnsi="Times New Roman" w:eastAsia="仿宋_GB2312"/>
          <w:color w:val="070707"/>
          <w:sz w:val="32"/>
          <w:szCs w:val="32"/>
        </w:rPr>
        <w:t>1.86</w:t>
      </w:r>
      <w:r>
        <w:rPr>
          <w:rFonts w:ascii="Times New Roman" w:hAnsi="Times New Roman" w:eastAsia="仿宋_GB2312"/>
          <w:color w:val="070707"/>
          <w:sz w:val="32"/>
          <w:szCs w:val="32"/>
        </w:rPr>
        <w:t>万元，增长</w:t>
      </w:r>
      <w:r>
        <w:rPr>
          <w:rFonts w:hint="eastAsia" w:ascii="Times New Roman" w:hAnsi="Times New Roman" w:eastAsia="仿宋_GB2312"/>
          <w:color w:val="070707"/>
          <w:sz w:val="32"/>
          <w:szCs w:val="32"/>
        </w:rPr>
        <w:t>6.9</w:t>
      </w:r>
      <w:r>
        <w:rPr>
          <w:rFonts w:ascii="Times New Roman" w:hAnsi="Times New Roman" w:eastAsia="仿宋_GB2312"/>
          <w:color w:val="070707"/>
          <w:sz w:val="32"/>
          <w:szCs w:val="32"/>
        </w:rPr>
        <w:t>%。主要原因是：基本医疗保险缴费经费增加。</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（三）资源勘探工业信息等支出2023年预算数</w:t>
      </w:r>
      <w:r>
        <w:rPr>
          <w:rFonts w:hint="eastAsia" w:ascii="Times New Roman" w:hAnsi="Times New Roman" w:eastAsia="仿宋_GB2312" w:cs="Times New Roman"/>
          <w:color w:val="070707"/>
          <w:sz w:val="32"/>
          <w:szCs w:val="32"/>
        </w:rPr>
        <w:t>1392.66</w:t>
      </w:r>
      <w:r>
        <w:rPr>
          <w:rFonts w:ascii="Times New Roman" w:hAnsi="Times New Roman" w:eastAsia="仿宋_GB2312" w:cs="Times New Roman"/>
          <w:color w:val="070707"/>
          <w:sz w:val="32"/>
          <w:szCs w:val="32"/>
        </w:rPr>
        <w:t>万元，比2022年执行数减少</w:t>
      </w:r>
      <w:r>
        <w:rPr>
          <w:rFonts w:hint="eastAsia" w:ascii="Times New Roman" w:hAnsi="Times New Roman" w:eastAsia="仿宋_GB2312" w:cs="Times New Roman"/>
          <w:color w:val="070707"/>
          <w:sz w:val="32"/>
          <w:szCs w:val="32"/>
        </w:rPr>
        <w:t>310.1</w:t>
      </w:r>
      <w:r>
        <w:rPr>
          <w:rFonts w:ascii="Times New Roman" w:hAnsi="Times New Roman" w:eastAsia="仿宋_GB2312" w:cs="Times New Roman"/>
          <w:color w:val="070707"/>
          <w:sz w:val="32"/>
          <w:szCs w:val="32"/>
        </w:rPr>
        <w:t>万元，下降</w:t>
      </w:r>
      <w:r>
        <w:rPr>
          <w:rFonts w:hint="eastAsia" w:ascii="Times New Roman" w:hAnsi="Times New Roman" w:eastAsia="仿宋_GB2312" w:cs="Times New Roman"/>
          <w:color w:val="070707"/>
          <w:sz w:val="32"/>
          <w:szCs w:val="32"/>
        </w:rPr>
        <w:t>18.21</w:t>
      </w:r>
      <w:r>
        <w:rPr>
          <w:rFonts w:ascii="Times New Roman" w:hAnsi="Times New Roman" w:eastAsia="仿宋_GB2312" w:cs="Times New Roman"/>
          <w:color w:val="070707"/>
          <w:sz w:val="32"/>
          <w:szCs w:val="32"/>
        </w:rPr>
        <w:t>%。主要原因是：一是落实过紧日子要求；二是2023年无中央财政基本建设项目支出。</w:t>
      </w:r>
    </w:p>
    <w:p>
      <w:pPr>
        <w:pStyle w:val="6"/>
        <w:ind w:firstLine="480"/>
        <w:jc w:val="both"/>
        <w:rPr>
          <w:rFonts w:ascii="Times New Roman" w:hAnsi="Times New Roman" w:eastAsia="仿宋_GB2312"/>
          <w:color w:val="070707"/>
          <w:sz w:val="32"/>
          <w:szCs w:val="32"/>
        </w:rPr>
      </w:pPr>
      <w:r>
        <w:rPr>
          <w:rFonts w:ascii="Times New Roman" w:hAnsi="Times New Roman" w:eastAsia="仿宋_GB2312"/>
          <w:color w:val="070707"/>
          <w:sz w:val="32"/>
          <w:szCs w:val="32"/>
        </w:rPr>
        <w:t>（四）住房保障支出2023年预算数</w:t>
      </w:r>
      <w:r>
        <w:rPr>
          <w:rFonts w:hint="eastAsia" w:ascii="Times New Roman" w:hAnsi="Times New Roman" w:eastAsia="仿宋_GB2312"/>
          <w:color w:val="070707"/>
          <w:sz w:val="32"/>
          <w:szCs w:val="32"/>
        </w:rPr>
        <w:t>107.75</w:t>
      </w:r>
      <w:r>
        <w:rPr>
          <w:rFonts w:ascii="Times New Roman" w:hAnsi="Times New Roman" w:eastAsia="仿宋_GB2312"/>
          <w:color w:val="070707"/>
          <w:sz w:val="32"/>
          <w:szCs w:val="32"/>
        </w:rPr>
        <w:t>万元，比2022年执行数增加</w:t>
      </w:r>
      <w:r>
        <w:rPr>
          <w:rFonts w:hint="eastAsia" w:ascii="Times New Roman" w:hAnsi="Times New Roman" w:eastAsia="仿宋_GB2312"/>
          <w:color w:val="070707"/>
          <w:sz w:val="32"/>
          <w:szCs w:val="32"/>
        </w:rPr>
        <w:t>5</w:t>
      </w:r>
      <w:r>
        <w:rPr>
          <w:rFonts w:ascii="Times New Roman" w:hAnsi="Times New Roman" w:eastAsia="仿宋_GB2312"/>
          <w:color w:val="070707"/>
          <w:sz w:val="32"/>
          <w:szCs w:val="32"/>
        </w:rPr>
        <w:t>万元，增长</w:t>
      </w:r>
      <w:r>
        <w:rPr>
          <w:rFonts w:hint="eastAsia" w:ascii="Times New Roman" w:hAnsi="Times New Roman" w:eastAsia="仿宋_GB2312"/>
          <w:color w:val="070707"/>
          <w:sz w:val="32"/>
          <w:szCs w:val="32"/>
        </w:rPr>
        <w:t>4.87</w:t>
      </w:r>
      <w:r>
        <w:rPr>
          <w:rFonts w:ascii="Times New Roman" w:hAnsi="Times New Roman" w:eastAsia="仿宋_GB2312"/>
          <w:color w:val="070707"/>
          <w:sz w:val="32"/>
          <w:szCs w:val="32"/>
        </w:rPr>
        <w:t>%。主要原因是：住房公积金和购房补贴经费增加。</w:t>
      </w:r>
    </w:p>
    <w:p>
      <w:pPr>
        <w:pStyle w:val="11"/>
        <w:widowControl/>
        <w:spacing w:beforeAutospacing="0" w:afterAutospacing="0"/>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六、一般公共预算基本支出情况说明</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浙江省通信管理局2023年度一般公共预算基本支出</w:t>
      </w:r>
      <w:r>
        <w:rPr>
          <w:rFonts w:hint="eastAsia" w:ascii="Times New Roman" w:hAnsi="Times New Roman" w:eastAsia="仿宋_GB2312" w:cs="Times New Roman"/>
          <w:color w:val="070707"/>
          <w:sz w:val="32"/>
          <w:szCs w:val="32"/>
        </w:rPr>
        <w:t>552.69</w:t>
      </w:r>
      <w:r>
        <w:rPr>
          <w:rFonts w:ascii="Times New Roman" w:hAnsi="Times New Roman" w:eastAsia="仿宋_GB2312" w:cs="Times New Roman"/>
          <w:color w:val="070707"/>
          <w:sz w:val="32"/>
          <w:szCs w:val="32"/>
        </w:rPr>
        <w:t>万元。其中：</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人员经费</w:t>
      </w:r>
      <w:r>
        <w:rPr>
          <w:rFonts w:hint="eastAsia" w:ascii="Times New Roman" w:hAnsi="Times New Roman" w:eastAsia="仿宋_GB2312" w:cs="Times New Roman"/>
          <w:color w:val="070707"/>
          <w:sz w:val="32"/>
          <w:szCs w:val="32"/>
        </w:rPr>
        <w:t>453.57</w:t>
      </w:r>
      <w:r>
        <w:rPr>
          <w:rFonts w:ascii="Times New Roman" w:hAnsi="Times New Roman" w:eastAsia="仿宋_GB2312" w:cs="Times New Roman"/>
          <w:color w:val="070707"/>
          <w:sz w:val="32"/>
          <w:szCs w:val="32"/>
        </w:rPr>
        <w:t>万元，主要包括：基本工资、津贴补贴、奖金、机关事业单位基本养老保险缴费、职业年金缴费、职工基本医疗保险缴费、公务员医疗补助缴费、其他社会保障缴费、住房公积金、医疗费、其他工资福利支出、退休费；</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公用经费</w:t>
      </w:r>
      <w:r>
        <w:rPr>
          <w:rFonts w:hint="eastAsia" w:ascii="Times New Roman" w:hAnsi="Times New Roman" w:eastAsia="仿宋_GB2312" w:cs="Times New Roman"/>
          <w:color w:val="070707"/>
          <w:sz w:val="32"/>
          <w:szCs w:val="32"/>
        </w:rPr>
        <w:t>99.12</w:t>
      </w:r>
      <w:r>
        <w:rPr>
          <w:rFonts w:ascii="Times New Roman" w:hAnsi="Times New Roman" w:eastAsia="仿宋_GB2312" w:cs="Times New Roman"/>
          <w:color w:val="070707"/>
          <w:sz w:val="32"/>
          <w:szCs w:val="32"/>
        </w:rPr>
        <w:t>万元，主要包括：办公费、印刷费、水费、电费、邮电费、物业管理费、差旅费、维修（护）费、租赁费、会议费、培训费、公务接待费、劳务费、委托业务费、工会经费、福利费、公务用车运行维护费、其他交通费用、其他商品和服务支出。</w:t>
      </w: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七、财政拨款预算“三公”经费支出情况说明</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浙江省通信管理局2023年“三公”经费财政拨款预算数</w:t>
      </w:r>
      <w:r>
        <w:rPr>
          <w:rFonts w:hint="eastAsia" w:ascii="Times New Roman" w:hAnsi="Times New Roman" w:eastAsia="仿宋_GB2312" w:cs="Times New Roman"/>
          <w:color w:val="070707"/>
          <w:sz w:val="32"/>
          <w:szCs w:val="32"/>
        </w:rPr>
        <w:t>17.8</w:t>
      </w:r>
      <w:r>
        <w:rPr>
          <w:rFonts w:ascii="Times New Roman" w:hAnsi="Times New Roman" w:eastAsia="仿宋_GB2312" w:cs="Times New Roman"/>
          <w:color w:val="070707"/>
          <w:sz w:val="32"/>
          <w:szCs w:val="32"/>
        </w:rPr>
        <w:t>万元,与2022年预算数一致。其中：公务用车运行费</w:t>
      </w:r>
      <w:r>
        <w:rPr>
          <w:rFonts w:hint="eastAsia" w:ascii="Times New Roman" w:hAnsi="Times New Roman" w:eastAsia="仿宋_GB2312" w:cs="Times New Roman"/>
          <w:color w:val="070707"/>
          <w:sz w:val="32"/>
          <w:szCs w:val="32"/>
        </w:rPr>
        <w:t>15.83</w:t>
      </w:r>
      <w:r>
        <w:rPr>
          <w:rFonts w:ascii="Times New Roman" w:hAnsi="Times New Roman" w:eastAsia="仿宋_GB2312" w:cs="Times New Roman"/>
          <w:color w:val="070707"/>
          <w:sz w:val="32"/>
          <w:szCs w:val="32"/>
        </w:rPr>
        <w:t>万元，主要用于维护公务车辆；公务接待费</w:t>
      </w:r>
      <w:r>
        <w:rPr>
          <w:rFonts w:hint="eastAsia" w:ascii="Times New Roman" w:hAnsi="Times New Roman" w:eastAsia="仿宋_GB2312" w:cs="Times New Roman"/>
          <w:color w:val="070707"/>
          <w:sz w:val="32"/>
          <w:szCs w:val="32"/>
        </w:rPr>
        <w:t>1.97</w:t>
      </w:r>
      <w:r>
        <w:rPr>
          <w:rFonts w:ascii="Times New Roman" w:hAnsi="Times New Roman" w:eastAsia="仿宋_GB2312" w:cs="Times New Roman"/>
          <w:color w:val="070707"/>
          <w:sz w:val="32"/>
          <w:szCs w:val="32"/>
        </w:rPr>
        <w:t>万元，主要用于与国内相关单位业务交流、技术探讨，接受相关部门调研指导等工作。</w:t>
      </w: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八、其他重要事项情况说明</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（一）机关运行经费</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2023年度浙江省通信管理局本级机关运行经费财政拨款预算</w:t>
      </w:r>
      <w:r>
        <w:rPr>
          <w:rFonts w:hint="eastAsia" w:ascii="Times New Roman" w:hAnsi="Times New Roman" w:eastAsia="仿宋_GB2312" w:cs="Times New Roman"/>
          <w:color w:val="070707"/>
          <w:sz w:val="32"/>
          <w:szCs w:val="32"/>
        </w:rPr>
        <w:t>97.23</w:t>
      </w:r>
      <w:r>
        <w:rPr>
          <w:rFonts w:ascii="Times New Roman" w:hAnsi="Times New Roman" w:eastAsia="仿宋_GB2312" w:cs="Times New Roman"/>
          <w:color w:val="070707"/>
          <w:sz w:val="32"/>
          <w:szCs w:val="32"/>
        </w:rPr>
        <w:t>万元，与2022年预算数一致。</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（二）政府采购情况</w:t>
      </w:r>
    </w:p>
    <w:p>
      <w:pPr>
        <w:pStyle w:val="11"/>
        <w:widowControl/>
        <w:spacing w:beforeAutospacing="0" w:afterAutospacing="0" w:line="27" w:lineRule="atLeas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2023年度浙江省通信管理局政府采购预算总额</w:t>
      </w:r>
      <w:r>
        <w:rPr>
          <w:rFonts w:hint="eastAsia" w:ascii="Times New Roman" w:hAnsi="Times New Roman" w:eastAsia="仿宋_GB2312" w:cs="Times New Roman"/>
          <w:sz w:val="32"/>
          <w:szCs w:val="32"/>
        </w:rPr>
        <w:t>167.13</w:t>
      </w:r>
      <w:r>
        <w:rPr>
          <w:rFonts w:ascii="Times New Roman" w:hAnsi="Times New Roman" w:eastAsia="仿宋_GB2312" w:cs="Times New Roman"/>
          <w:sz w:val="32"/>
          <w:szCs w:val="32"/>
        </w:rPr>
        <w:t>万元，其中：政府采购货物预算</w:t>
      </w:r>
      <w:r>
        <w:rPr>
          <w:rFonts w:hint="eastAsia" w:ascii="Times New Roman" w:hAnsi="Times New Roman" w:eastAsia="仿宋_GB2312" w:cs="Times New Roman"/>
          <w:sz w:val="32"/>
          <w:szCs w:val="32"/>
        </w:rPr>
        <w:t>26.5</w:t>
      </w:r>
      <w:r>
        <w:rPr>
          <w:rFonts w:ascii="Times New Roman" w:hAnsi="Times New Roman" w:eastAsia="仿宋_GB2312" w:cs="Times New Roman"/>
          <w:sz w:val="32"/>
          <w:szCs w:val="32"/>
        </w:rPr>
        <w:t>万元、政府采购服务预算</w:t>
      </w:r>
      <w:r>
        <w:rPr>
          <w:rFonts w:hint="eastAsia" w:ascii="Times New Roman" w:hAnsi="Times New Roman" w:eastAsia="仿宋_GB2312" w:cs="Times New Roman"/>
          <w:sz w:val="32"/>
          <w:szCs w:val="32"/>
        </w:rPr>
        <w:t>140.63</w:t>
      </w:r>
      <w:r>
        <w:rPr>
          <w:rFonts w:ascii="Times New Roman" w:hAnsi="Times New Roman" w:eastAsia="仿宋_GB2312" w:cs="Times New Roman"/>
          <w:sz w:val="32"/>
          <w:szCs w:val="32"/>
        </w:rPr>
        <w:t>万元。此次公开的政府采购预算金额的计算口径为2023年本单位基本支出、项目支出中用于政府采购的金额之和。</w:t>
      </w:r>
    </w:p>
    <w:p>
      <w:pPr>
        <w:pStyle w:val="11"/>
        <w:widowControl/>
        <w:numPr>
          <w:ilvl w:val="0"/>
          <w:numId w:val="1"/>
        </w:numPr>
        <w:spacing w:beforeAutospacing="0" w:afterAutospacing="0" w:line="27" w:lineRule="atLeas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国有资产占有使用情况</w:t>
      </w:r>
    </w:p>
    <w:p>
      <w:pPr>
        <w:pStyle w:val="11"/>
        <w:widowControl/>
        <w:spacing w:beforeAutospacing="0" w:afterAutospacing="0" w:line="27" w:lineRule="atLeas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截至2022年8月31日，浙江省通信管理局共有车辆</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辆，其中：机要通信用车</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辆，特种专业技术用车1辆，其他用车</w:t>
      </w:r>
      <w:r>
        <w:rPr>
          <w:rFonts w:hint="eastAsia" w:ascii="Times New Roman" w:hAnsi="Times New Roman" w:eastAsia="仿宋_GB2312" w:cs="Times New Roman"/>
          <w:sz w:val="32"/>
          <w:szCs w:val="32"/>
        </w:rPr>
        <w:t>1辆</w:t>
      </w:r>
      <w:r>
        <w:rPr>
          <w:rFonts w:ascii="Times New Roman" w:hAnsi="Times New Roman" w:eastAsia="仿宋_GB2312" w:cs="Times New Roman"/>
          <w:sz w:val="32"/>
          <w:szCs w:val="32"/>
        </w:rPr>
        <w:t>。</w:t>
      </w:r>
    </w:p>
    <w:p>
      <w:pPr>
        <w:pStyle w:val="11"/>
        <w:widowControl/>
        <w:spacing w:beforeAutospacing="0" w:afterAutospacing="0" w:line="27" w:lineRule="atLeast"/>
        <w:ind w:firstLine="640" w:firstLineChars="200"/>
        <w:jc w:val="both"/>
        <w:rPr>
          <w:rFonts w:ascii="Times New Roman" w:hAnsi="Times New Roman" w:cs="Times New Roman"/>
          <w:color w:val="070707"/>
          <w:highlight w:val="yellow"/>
        </w:rPr>
      </w:pPr>
      <w:r>
        <w:rPr>
          <w:rFonts w:ascii="Times New Roman" w:hAnsi="Times New Roman" w:eastAsia="仿宋_GB2312" w:cs="Times New Roman"/>
          <w:sz w:val="32"/>
          <w:szCs w:val="32"/>
        </w:rPr>
        <w:t>（四）预算绩效管理情况</w:t>
      </w:r>
    </w:p>
    <w:p>
      <w:pPr>
        <w:pStyle w:val="6"/>
        <w:widowControl/>
        <w:ind w:firstLine="640" w:firstLineChars="200"/>
        <w:jc w:val="both"/>
        <w:rPr>
          <w:rFonts w:ascii="Times New Roman" w:hAnsi="Times New Roman" w:eastAsia="仿宋_GB2312"/>
          <w:sz w:val="32"/>
          <w:szCs w:val="32"/>
        </w:rPr>
        <w:sectPr>
          <w:pgSz w:w="11906" w:h="16838"/>
          <w:pgMar w:top="1440" w:right="1803" w:bottom="1440" w:left="1803" w:header="851" w:footer="992" w:gutter="0"/>
          <w:cols w:space="720" w:num="1"/>
          <w:docGrid w:type="lines" w:linePitch="319" w:charSpace="0"/>
        </w:sectPr>
      </w:pPr>
      <w:r>
        <w:rPr>
          <w:rFonts w:ascii="Times New Roman" w:hAnsi="Times New Roman" w:eastAsia="仿宋_GB2312"/>
          <w:sz w:val="32"/>
          <w:szCs w:val="32"/>
        </w:rPr>
        <w:t>2023年浙江省通信管理局对单位项目支出全面实施绩效目标管理，涉及预算拨款</w:t>
      </w:r>
      <w:r>
        <w:rPr>
          <w:rFonts w:hint="eastAsia" w:ascii="Times New Roman" w:hAnsi="Times New Roman" w:eastAsia="仿宋_GB2312"/>
          <w:sz w:val="32"/>
          <w:szCs w:val="32"/>
        </w:rPr>
        <w:t>1045.33</w:t>
      </w:r>
      <w:r>
        <w:rPr>
          <w:rFonts w:ascii="Times New Roman" w:hAnsi="Times New Roman" w:eastAsia="仿宋_GB2312"/>
          <w:sz w:val="32"/>
          <w:szCs w:val="32"/>
        </w:rPr>
        <w:t>万元，项目2个。根据以前年度绩效评价结果，优化项目支出2023年预算安排，并进一步改进管理、完善政策。下一步，将按照财政部有关制度规定全面开展2023年绩效自评，加强评价结果应用。</w:t>
      </w:r>
    </w:p>
    <w:p>
      <w:pPr>
        <w:pStyle w:val="11"/>
        <w:widowControl/>
        <w:spacing w:beforeAutospacing="0" w:afterAutospacing="0" w:line="27" w:lineRule="atLeast"/>
        <w:jc w:val="center"/>
        <w:rPr>
          <w:rFonts w:ascii="Times New Roman" w:hAnsi="Times New Roman" w:cs="Times New Roman"/>
          <w:color w:val="070707"/>
          <w:sz w:val="32"/>
          <w:szCs w:val="32"/>
        </w:rPr>
      </w:pPr>
      <w:r>
        <w:rPr>
          <w:rStyle w:val="8"/>
          <w:rFonts w:ascii="Times New Roman" w:hAnsi="Times New Roman" w:eastAsia="黑体" w:cs="Times New Roman"/>
          <w:b w:val="0"/>
          <w:bCs/>
          <w:color w:val="070707"/>
          <w:sz w:val="44"/>
          <w:szCs w:val="44"/>
        </w:rPr>
        <w:t>第四部分 名词解释</w:t>
      </w:r>
    </w:p>
    <w:p>
      <w:pPr>
        <w:pStyle w:val="11"/>
        <w:widowControl/>
        <w:spacing w:beforeAutospacing="0" w:afterAutospacing="0" w:line="27" w:lineRule="atLeast"/>
        <w:rPr>
          <w:rFonts w:ascii="Times New Roman" w:hAnsi="Times New Roman" w:eastAsia="黑体" w:cs="Times New Roman"/>
          <w:color w:val="070707"/>
          <w:sz w:val="32"/>
          <w:szCs w:val="32"/>
        </w:rPr>
      </w:pP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一、收入科目</w:t>
      </w:r>
    </w:p>
    <w:p>
      <w:pPr>
        <w:pStyle w:val="11"/>
        <w:widowControl/>
        <w:spacing w:beforeAutospacing="0" w:afterAutospacing="0" w:line="27" w:lineRule="atLeast"/>
        <w:ind w:firstLine="420"/>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（一）财政拨款收入：指中央财政当年拨付的资金。</w:t>
      </w:r>
    </w:p>
    <w:p>
      <w:pPr>
        <w:pStyle w:val="11"/>
        <w:widowControl/>
        <w:spacing w:beforeAutospacing="0" w:afterAutospacing="0" w:line="27" w:lineRule="atLeast"/>
        <w:ind w:firstLine="420"/>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（二）事业单位经营收入：指事业单位在专业业务活动及其辅助活动之外开展非独立核算经营活动取得的收入。</w:t>
      </w:r>
    </w:p>
    <w:p>
      <w:pPr>
        <w:pStyle w:val="11"/>
        <w:widowControl/>
        <w:spacing w:beforeAutospacing="0" w:afterAutospacing="0" w:line="27" w:lineRule="atLeast"/>
        <w:ind w:firstLine="420"/>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（三）其他收入：指除上述“财政拨款收入”、“事业收入”、“事业单位经营收入”等以外的收入。如投资收益、利息收入等。</w:t>
      </w:r>
    </w:p>
    <w:p>
      <w:pPr>
        <w:pStyle w:val="11"/>
        <w:widowControl/>
        <w:spacing w:beforeAutospacing="0" w:afterAutospacing="0" w:line="27" w:lineRule="atLeast"/>
        <w:ind w:firstLine="420"/>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（四）上年结转：指以前年度尚未完成、结转到本年仍按原规定用途继续使用的资金。</w:t>
      </w: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二、支出科目</w:t>
      </w:r>
    </w:p>
    <w:p>
      <w:pPr>
        <w:pStyle w:val="11"/>
        <w:widowControl/>
        <w:spacing w:beforeAutospacing="0" w:afterAutospacing="0" w:line="27" w:lineRule="atLeast"/>
        <w:ind w:firstLine="42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（一）社会保障和就业（类）行政事业单位养老（款）：指浙江省通信管理局用于行政事业单位养老方面的支出。</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1.行政单位离退休（项）：指浙江省通信管理局退休人员的经费。</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2.机关事业单位基本养老保险缴费支出（项）：指浙江省通信管理局实施养老保险制度由单位缴纳的基本养老保险费支出。</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3.机关事业单位职业年金缴费支出（项）：指浙江省通信管理局实施养老保险制度由单位缴纳的职业年金支出。</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（二）卫生健康（类）行政事业单位医疗（款）：指浙江省通信管理局用于行政事业单位医疗方面的支出。</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1.行政单位医疗（项）：指中央财政集中安排给各省、市、自治区、直辖市通信管理局的基本医疗保险缴费经费。</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2.公务员医疗补助（项）：指中央财政集中安排给各省、市、自治区、直辖市通信管理局的公务员医疗补助经费。</w:t>
      </w:r>
    </w:p>
    <w:p>
      <w:pPr>
        <w:pStyle w:val="11"/>
        <w:widowControl/>
        <w:spacing w:beforeAutospacing="0" w:afterAutospacing="0" w:line="27" w:lineRule="atLeast"/>
        <w:ind w:firstLine="42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（三）资源勘探工业信息等（类）：反映用于资源勘探、制造业、建筑业、工业信息等方面支出，浙江省通信管理局预算主要涉及工业和信息产业监管支出这个款级支出科目。</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工业和信息产业监管支出（款）：指浙江省通信管理局用于保障机构运行、开展工业和信息产业监管工作的支出。</w:t>
      </w:r>
    </w:p>
    <w:p>
      <w:pPr>
        <w:pStyle w:val="11"/>
        <w:widowControl/>
        <w:spacing w:beforeAutospacing="0" w:afterAutospacing="0" w:line="27" w:lineRule="atLeast"/>
        <w:ind w:firstLine="42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（四）住房保障支出（类）住房改革支出（款）：指浙江省通信管理局按照国家政策规定用于住房改革方面的支出。</w:t>
      </w:r>
    </w:p>
    <w:p>
      <w:pPr>
        <w:pStyle w:val="11"/>
        <w:widowControl/>
        <w:spacing w:beforeAutospacing="0" w:afterAutospacing="0" w:line="27" w:lineRule="atLeast"/>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　　1.住房公积金（项）：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2.购房补贴（项）：是根据《国务院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国务院办公厅转发建设部等单位&lt;厅字〔2005〕8号&gt;》规定的标准执行，京外中央单位按照所在地人民政府住房分配货币化改革的政策规定和标准执行。</w:t>
      </w:r>
    </w:p>
    <w:p>
      <w:pPr>
        <w:pStyle w:val="11"/>
        <w:widowControl/>
        <w:spacing w:beforeAutospacing="0" w:afterAutospacing="0" w:line="27" w:lineRule="atLeast"/>
        <w:ind w:firstLine="42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（五）结转下年：指以前年度预算安排、因客观条件发生变化无法按原计划实施，需延迟到以后年度按原规定用途继续使用的资金。</w:t>
      </w:r>
    </w:p>
    <w:p>
      <w:pPr>
        <w:pStyle w:val="11"/>
        <w:widowControl/>
        <w:spacing w:beforeAutospacing="0" w:afterAutospacing="0" w:line="27" w:lineRule="atLeast"/>
        <w:ind w:firstLine="42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（六）基本支出：指为保障机构正常运转、完成日常工作任务而发生的人员支出和公用支出。</w:t>
      </w:r>
    </w:p>
    <w:p>
      <w:pPr>
        <w:pStyle w:val="11"/>
        <w:widowControl/>
        <w:spacing w:beforeAutospacing="0" w:afterAutospacing="0" w:line="27" w:lineRule="atLeast"/>
        <w:ind w:firstLine="42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（七）项目支出：指在基本支出之外为完成特定行政任务和事业发展目标所发生的支出。</w:t>
      </w:r>
    </w:p>
    <w:p>
      <w:pPr>
        <w:pStyle w:val="11"/>
        <w:widowControl/>
        <w:spacing w:beforeAutospacing="0" w:afterAutospacing="0" w:line="27" w:lineRule="atLeast"/>
        <w:ind w:firstLine="42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（八）事业单位经营支出：指事业单位在专业业务活动及其辅助活动之外开展非独立核算经营活动发生的支出。</w:t>
      </w: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三、“三公”经费</w:t>
      </w:r>
    </w:p>
    <w:p>
      <w:pPr>
        <w:pStyle w:val="11"/>
        <w:widowControl/>
        <w:spacing w:beforeAutospacing="0" w:afterAutospacing="0" w:line="27" w:lineRule="atLeast"/>
        <w:ind w:firstLine="640" w:firstLineChars="200"/>
        <w:jc w:val="both"/>
        <w:rPr>
          <w:rFonts w:ascii="Times New Roman" w:hAnsi="Times New Roman" w:eastAsia="仿宋_GB2312" w:cs="Times New Roman"/>
          <w:color w:val="070707"/>
          <w:sz w:val="32"/>
          <w:szCs w:val="32"/>
        </w:rPr>
      </w:pPr>
      <w:r>
        <w:rPr>
          <w:rFonts w:ascii="Times New Roman" w:hAnsi="Times New Roman" w:eastAsia="仿宋_GB2312" w:cs="Times New Roman"/>
          <w:color w:val="070707"/>
          <w:sz w:val="32"/>
          <w:szCs w:val="32"/>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11"/>
        <w:widowControl/>
        <w:spacing w:beforeAutospacing="0" w:afterAutospacing="0" w:line="27" w:lineRule="atLeast"/>
        <w:ind w:firstLine="640" w:firstLineChars="200"/>
        <w:rPr>
          <w:rFonts w:ascii="Times New Roman" w:hAnsi="Times New Roman" w:eastAsia="黑体" w:cs="Times New Roman"/>
          <w:color w:val="070707"/>
          <w:sz w:val="32"/>
          <w:szCs w:val="32"/>
        </w:rPr>
      </w:pPr>
      <w:r>
        <w:rPr>
          <w:rFonts w:ascii="Times New Roman" w:hAnsi="Times New Roman" w:eastAsia="黑体" w:cs="Times New Roman"/>
          <w:color w:val="070707"/>
          <w:sz w:val="32"/>
          <w:szCs w:val="32"/>
        </w:rPr>
        <w:t>四、机关运行经费</w:t>
      </w:r>
    </w:p>
    <w:p>
      <w:pPr>
        <w:pStyle w:val="11"/>
        <w:widowControl/>
        <w:spacing w:beforeAutospacing="0" w:afterAutospacing="0" w:line="27" w:lineRule="atLeast"/>
        <w:ind w:firstLine="640" w:firstLineChars="200"/>
        <w:jc w:val="both"/>
        <w:rPr>
          <w:rFonts w:ascii="仿宋_GB2312" w:hAnsi="仿宋_GB2312" w:eastAsia="仿宋_GB2312" w:cs="仿宋_GB2312"/>
          <w:color w:val="070707"/>
          <w:sz w:val="32"/>
          <w:szCs w:val="32"/>
        </w:rPr>
      </w:pPr>
      <w:r>
        <w:rPr>
          <w:rFonts w:ascii="Times New Roman" w:hAnsi="Times New Roman" w:eastAsia="仿宋_GB2312" w:cs="Times New Roman"/>
          <w:color w:val="070707"/>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仿宋_GB2312" w:eastAsia="仿宋_GB2312" w:cs="仿宋_GB2312"/>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rial">
    <w:altName w:val="微软雅黑"/>
    <w:panose1 w:val="00000000000000000000"/>
    <w:charset w:val="01"/>
    <w:family w:val="auto"/>
    <w:pitch w:val="default"/>
    <w:sig w:usb0="00000000" w:usb1="00000000" w:usb2="00000000"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p>
                <w:pPr>
                  <w:pStyle w:val="4"/>
                  <w:rPr>
                    <w:rFonts w:ascii="Times New Roman" w:hAnsi="Times New Roman" w:cs="Times New Roman"/>
                  </w:rPr>
                </w:pPr>
                <w:r>
                  <w:rPr>
                    <w:rFonts w:ascii="Times New Roman" w:hAnsi="Times New Roman" w:cs="Times New Roman"/>
                  </w:rPr>
                  <w:t xml:space="preserve">第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t xml:space="preserve"> 页 共 </w:t>
                </w:r>
                <w:r>
                  <w:fldChar w:fldCharType="begin"/>
                </w:r>
                <w:r>
                  <w:instrText xml:space="preserve"> NUMPAGES  \* MERGEFORMAT </w:instrText>
                </w:r>
                <w: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CA5FF"/>
    <w:multiLevelType w:val="singleLevel"/>
    <w:tmpl w:val="896CA5F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hyphenationZone w:val="360"/>
  <w:drawingGridHorizontalSpacing w:val="105"/>
  <w:drawingGridVerticalSpacing w:val="319"/>
  <w:displayHorizontalDrawingGridEvery w:val="2"/>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RhMTZjZjc0ZDU5Yjk3ZTkwYjE2Y2Y0ODZmNTUzZjUifQ=="/>
  </w:docVars>
  <w:rsids>
    <w:rsidRoot w:val="00172A27"/>
    <w:rsid w:val="000054DB"/>
    <w:rsid w:val="00030E41"/>
    <w:rsid w:val="000422A3"/>
    <w:rsid w:val="000467C0"/>
    <w:rsid w:val="000705E5"/>
    <w:rsid w:val="00092224"/>
    <w:rsid w:val="000943C4"/>
    <w:rsid w:val="000A353D"/>
    <w:rsid w:val="000C338F"/>
    <w:rsid w:val="0013326F"/>
    <w:rsid w:val="00172A27"/>
    <w:rsid w:val="001C413A"/>
    <w:rsid w:val="0026440A"/>
    <w:rsid w:val="00271938"/>
    <w:rsid w:val="002A1AE4"/>
    <w:rsid w:val="002B29CD"/>
    <w:rsid w:val="002B6812"/>
    <w:rsid w:val="002D1105"/>
    <w:rsid w:val="0030439D"/>
    <w:rsid w:val="00306673"/>
    <w:rsid w:val="00320382"/>
    <w:rsid w:val="0033192F"/>
    <w:rsid w:val="003963E4"/>
    <w:rsid w:val="003A0892"/>
    <w:rsid w:val="003A42FD"/>
    <w:rsid w:val="003B3869"/>
    <w:rsid w:val="003C5843"/>
    <w:rsid w:val="003D471A"/>
    <w:rsid w:val="003E47A2"/>
    <w:rsid w:val="004173B4"/>
    <w:rsid w:val="00440B55"/>
    <w:rsid w:val="00440E19"/>
    <w:rsid w:val="00451ECE"/>
    <w:rsid w:val="0046432F"/>
    <w:rsid w:val="00486A1E"/>
    <w:rsid w:val="004B3487"/>
    <w:rsid w:val="004D0679"/>
    <w:rsid w:val="004D1871"/>
    <w:rsid w:val="00547F2B"/>
    <w:rsid w:val="005638E5"/>
    <w:rsid w:val="005B4910"/>
    <w:rsid w:val="005B67C8"/>
    <w:rsid w:val="005C7C52"/>
    <w:rsid w:val="005D07B2"/>
    <w:rsid w:val="005F1A7D"/>
    <w:rsid w:val="00604FA7"/>
    <w:rsid w:val="006136C7"/>
    <w:rsid w:val="0063266B"/>
    <w:rsid w:val="006A3C82"/>
    <w:rsid w:val="006B2FD3"/>
    <w:rsid w:val="006F224F"/>
    <w:rsid w:val="00711CEA"/>
    <w:rsid w:val="00712C9B"/>
    <w:rsid w:val="007228FF"/>
    <w:rsid w:val="00722C1D"/>
    <w:rsid w:val="007256D5"/>
    <w:rsid w:val="00746152"/>
    <w:rsid w:val="00747365"/>
    <w:rsid w:val="0076435C"/>
    <w:rsid w:val="007921AA"/>
    <w:rsid w:val="007B0C61"/>
    <w:rsid w:val="007B2A7D"/>
    <w:rsid w:val="007C4C47"/>
    <w:rsid w:val="007E71B0"/>
    <w:rsid w:val="00846195"/>
    <w:rsid w:val="00846286"/>
    <w:rsid w:val="00855E32"/>
    <w:rsid w:val="00872FD1"/>
    <w:rsid w:val="008B701A"/>
    <w:rsid w:val="008E459C"/>
    <w:rsid w:val="008E5641"/>
    <w:rsid w:val="008E6B8B"/>
    <w:rsid w:val="009047FF"/>
    <w:rsid w:val="009164E0"/>
    <w:rsid w:val="009205D6"/>
    <w:rsid w:val="00930A73"/>
    <w:rsid w:val="00944300"/>
    <w:rsid w:val="00947FE1"/>
    <w:rsid w:val="00951B22"/>
    <w:rsid w:val="0096015A"/>
    <w:rsid w:val="00997A3B"/>
    <w:rsid w:val="009E1859"/>
    <w:rsid w:val="009F4BF4"/>
    <w:rsid w:val="00A73B02"/>
    <w:rsid w:val="00AE7FCB"/>
    <w:rsid w:val="00AF4014"/>
    <w:rsid w:val="00B125E1"/>
    <w:rsid w:val="00B1561F"/>
    <w:rsid w:val="00B9585C"/>
    <w:rsid w:val="00BD3B09"/>
    <w:rsid w:val="00C01F28"/>
    <w:rsid w:val="00C71D06"/>
    <w:rsid w:val="00CA6C88"/>
    <w:rsid w:val="00CC2059"/>
    <w:rsid w:val="00CE1342"/>
    <w:rsid w:val="00D243C6"/>
    <w:rsid w:val="00D331AF"/>
    <w:rsid w:val="00D52DD8"/>
    <w:rsid w:val="00D54259"/>
    <w:rsid w:val="00D70E73"/>
    <w:rsid w:val="00D872FB"/>
    <w:rsid w:val="00D87C4A"/>
    <w:rsid w:val="00D918F0"/>
    <w:rsid w:val="00D930DE"/>
    <w:rsid w:val="00DA5F58"/>
    <w:rsid w:val="00DE4147"/>
    <w:rsid w:val="00DF256C"/>
    <w:rsid w:val="00E65310"/>
    <w:rsid w:val="00E65543"/>
    <w:rsid w:val="00E76B0E"/>
    <w:rsid w:val="00ED0F5A"/>
    <w:rsid w:val="00ED15C1"/>
    <w:rsid w:val="00F12C17"/>
    <w:rsid w:val="00F230FB"/>
    <w:rsid w:val="00F27F00"/>
    <w:rsid w:val="00F90677"/>
    <w:rsid w:val="00F90E59"/>
    <w:rsid w:val="00F97904"/>
    <w:rsid w:val="00FC0E6F"/>
    <w:rsid w:val="00FF07D5"/>
    <w:rsid w:val="02CD7C99"/>
    <w:rsid w:val="041F0257"/>
    <w:rsid w:val="05BB1A9E"/>
    <w:rsid w:val="06BD225B"/>
    <w:rsid w:val="080E39F9"/>
    <w:rsid w:val="094C6C31"/>
    <w:rsid w:val="0B00344C"/>
    <w:rsid w:val="0CAA0498"/>
    <w:rsid w:val="0CFE4148"/>
    <w:rsid w:val="1015460C"/>
    <w:rsid w:val="102A6D94"/>
    <w:rsid w:val="12A5238D"/>
    <w:rsid w:val="13525EE2"/>
    <w:rsid w:val="169856DE"/>
    <w:rsid w:val="16C01FA4"/>
    <w:rsid w:val="192F6EA9"/>
    <w:rsid w:val="1A4002A6"/>
    <w:rsid w:val="1B4545A5"/>
    <w:rsid w:val="1C4724BE"/>
    <w:rsid w:val="202944CC"/>
    <w:rsid w:val="24F37324"/>
    <w:rsid w:val="28094CC2"/>
    <w:rsid w:val="28E572CE"/>
    <w:rsid w:val="29F173BC"/>
    <w:rsid w:val="2CAA41E1"/>
    <w:rsid w:val="2FD838EC"/>
    <w:rsid w:val="300A1801"/>
    <w:rsid w:val="30B11C7D"/>
    <w:rsid w:val="31E926FC"/>
    <w:rsid w:val="342015F4"/>
    <w:rsid w:val="34BD56B9"/>
    <w:rsid w:val="36214DED"/>
    <w:rsid w:val="36796D2E"/>
    <w:rsid w:val="36D0328C"/>
    <w:rsid w:val="375365F4"/>
    <w:rsid w:val="37A147F9"/>
    <w:rsid w:val="381C4461"/>
    <w:rsid w:val="397A358F"/>
    <w:rsid w:val="3CEE70BF"/>
    <w:rsid w:val="3F2F7349"/>
    <w:rsid w:val="3F776625"/>
    <w:rsid w:val="4304759A"/>
    <w:rsid w:val="463A7956"/>
    <w:rsid w:val="476037E1"/>
    <w:rsid w:val="47B02837"/>
    <w:rsid w:val="47FF3C3D"/>
    <w:rsid w:val="4901159C"/>
    <w:rsid w:val="49220ADD"/>
    <w:rsid w:val="49285D3F"/>
    <w:rsid w:val="49703B06"/>
    <w:rsid w:val="4AC33D36"/>
    <w:rsid w:val="4AD03725"/>
    <w:rsid w:val="4B24319D"/>
    <w:rsid w:val="4CA873B3"/>
    <w:rsid w:val="532C3A07"/>
    <w:rsid w:val="559519EA"/>
    <w:rsid w:val="55C63809"/>
    <w:rsid w:val="57721692"/>
    <w:rsid w:val="57FA8421"/>
    <w:rsid w:val="5D98756F"/>
    <w:rsid w:val="619D3D64"/>
    <w:rsid w:val="61C51F12"/>
    <w:rsid w:val="64154A8B"/>
    <w:rsid w:val="66E21088"/>
    <w:rsid w:val="67EF3F71"/>
    <w:rsid w:val="690F30B8"/>
    <w:rsid w:val="6A6A30CC"/>
    <w:rsid w:val="6B975088"/>
    <w:rsid w:val="6F3F0CC1"/>
    <w:rsid w:val="70916903"/>
    <w:rsid w:val="70CD07ED"/>
    <w:rsid w:val="71010E9C"/>
    <w:rsid w:val="723E7E72"/>
    <w:rsid w:val="745C6020"/>
    <w:rsid w:val="77A27422"/>
    <w:rsid w:val="791F1447"/>
    <w:rsid w:val="79777346"/>
    <w:rsid w:val="7BEE1BB0"/>
    <w:rsid w:val="7CB24341"/>
    <w:rsid w:val="7EB7B987"/>
    <w:rsid w:val="7FAB5657"/>
    <w:rsid w:val="CFFF68ED"/>
    <w:rsid w:val="FFEF89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jc w:val="left"/>
    </w:pPr>
    <w:rPr>
      <w:rFonts w:cs="Times New Roman"/>
      <w:kern w:val="0"/>
      <w:sz w:val="24"/>
    </w:rPr>
  </w:style>
  <w:style w:type="character" w:styleId="8">
    <w:name w:val="Strong"/>
    <w:basedOn w:val="7"/>
    <w:qFormat/>
    <w:uiPriority w:val="0"/>
    <w:rPr>
      <w:b/>
    </w:rPr>
  </w:style>
  <w:style w:type="character" w:styleId="9">
    <w:name w:val="annotation reference"/>
    <w:basedOn w:val="7"/>
    <w:uiPriority w:val="0"/>
    <w:rPr>
      <w:sz w:val="21"/>
      <w:szCs w:val="21"/>
    </w:rPr>
  </w:style>
  <w:style w:type="paragraph" w:customStyle="1" w:styleId="11">
    <w:name w:val="普通(网站)1"/>
    <w:basedOn w:val="1"/>
    <w:qFormat/>
    <w:uiPriority w:val="0"/>
    <w:pPr>
      <w:spacing w:beforeAutospacing="1" w:afterAutospacing="1"/>
      <w:jc w:val="left"/>
    </w:pPr>
    <w:rPr>
      <w:kern w:val="0"/>
      <w:sz w:val="24"/>
    </w:rPr>
  </w:style>
  <w:style w:type="character" w:customStyle="1" w:styleId="12">
    <w:name w:val="批注框文本 Char"/>
    <w:basedOn w:val="7"/>
    <w:link w:val="3"/>
    <w:qFormat/>
    <w:uiPriority w:val="0"/>
    <w:rPr>
      <w:rFonts w:ascii="Calibri" w:hAnsi="Calibri" w:eastAsia="宋体" w:cs="黑体"/>
      <w:kern w:val="2"/>
      <w:sz w:val="18"/>
      <w:szCs w:val="18"/>
    </w:rPr>
  </w:style>
  <w:style w:type="character" w:customStyle="1" w:styleId="13">
    <w:name w:val="font21"/>
    <w:basedOn w:val="7"/>
    <w:qFormat/>
    <w:uiPriority w:val="0"/>
    <w:rPr>
      <w:rFonts w:hint="default" w:ascii="Trial" w:hAnsi="Trial" w:eastAsia="Trial" w:cs="Trial"/>
      <w:color w:val="000000"/>
      <w:sz w:val="20"/>
      <w:szCs w:val="20"/>
      <w:u w:val="none"/>
    </w:rPr>
  </w:style>
  <w:style w:type="character" w:customStyle="1" w:styleId="14">
    <w:name w:val="font41"/>
    <w:basedOn w:val="7"/>
    <w:qFormat/>
    <w:uiPriority w:val="0"/>
    <w:rPr>
      <w:rFonts w:hint="eastAsia" w:ascii="宋体" w:hAnsi="宋体" w:eastAsia="宋体" w:cs="宋体"/>
      <w:color w:val="000000"/>
      <w:sz w:val="20"/>
      <w:szCs w:val="20"/>
      <w:u w:val="none"/>
    </w:rPr>
  </w:style>
  <w:style w:type="character" w:customStyle="1" w:styleId="15">
    <w:name w:val="font31"/>
    <w:basedOn w:val="7"/>
    <w:qFormat/>
    <w:uiPriority w:val="0"/>
    <w:rPr>
      <w:rFonts w:hint="eastAsia" w:ascii="宋体" w:hAnsi="宋体" w:eastAsia="宋体" w:cs="宋体"/>
      <w:color w:val="000000"/>
      <w:sz w:val="20"/>
      <w:szCs w:val="20"/>
      <w:u w:val="none"/>
    </w:rPr>
  </w:style>
  <w:style w:type="character" w:customStyle="1" w:styleId="16">
    <w:name w:val="font11"/>
    <w:basedOn w:val="7"/>
    <w:qFormat/>
    <w:uiPriority w:val="0"/>
    <w:rPr>
      <w:rFonts w:hint="eastAsia" w:ascii="宋体" w:hAnsi="宋体" w:eastAsia="宋体" w:cs="宋体"/>
      <w:color w:val="000000"/>
      <w:sz w:val="20"/>
      <w:szCs w:val="20"/>
      <w:u w:val="none"/>
    </w:rPr>
  </w:style>
  <w:style w:type="character" w:customStyle="1" w:styleId="17">
    <w:name w:val="font51"/>
    <w:basedOn w:val="7"/>
    <w:qFormat/>
    <w:uiPriority w:val="0"/>
    <w:rPr>
      <w:rFonts w:ascii="Trial" w:hAnsi="Trial" w:eastAsia="Trial" w:cs="T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1415</Words>
  <Characters>8068</Characters>
  <Lines>67</Lines>
  <Paragraphs>18</Paragraphs>
  <TotalTime>385</TotalTime>
  <ScaleCrop>false</ScaleCrop>
  <LinksUpToDate>false</LinksUpToDate>
  <CharactersWithSpaces>9465</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bgs</dc:creator>
  <cp:lastModifiedBy>陈波</cp:lastModifiedBy>
  <cp:lastPrinted>2023-04-11T12:43:00Z</cp:lastPrinted>
  <dcterms:modified xsi:type="dcterms:W3CDTF">2023-04-26T11:16:38Z</dcterms:modified>
  <dc:title>目录</dc:title>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y fmtid="{D5CDD505-2E9C-101B-9397-08002B2CF9AE}" pid="3" name="ICV">
    <vt:lpwstr>726CE033D82743B284BA28C9CD9FF46D_13</vt:lpwstr>
  </property>
</Properties>
</file>